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5A32" w14:textId="77777777" w:rsidR="00E16DF7" w:rsidRPr="00E16DF7" w:rsidRDefault="00E16DF7" w:rsidP="00E16DF7">
      <w:pPr>
        <w:rPr>
          <w:rFonts w:cstheme="minorHAnsi"/>
          <w:szCs w:val="24"/>
        </w:rPr>
      </w:pPr>
    </w:p>
    <w:p w14:paraId="7510E145" w14:textId="77777777" w:rsidR="007138D4" w:rsidRDefault="005E24C2" w:rsidP="00AB6D3A">
      <w:pPr>
        <w:jc w:val="center"/>
        <w:rPr>
          <w:b/>
          <w:bCs/>
          <w:sz w:val="28"/>
          <w:szCs w:val="28"/>
        </w:rPr>
      </w:pPr>
      <w:r w:rsidRPr="007138D4">
        <w:rPr>
          <w:b/>
          <w:bCs/>
          <w:sz w:val="28"/>
          <w:szCs w:val="28"/>
        </w:rPr>
        <w:t xml:space="preserve">Evaluarea riscurilor prezentate de prelucrarea datelor </w:t>
      </w:r>
    </w:p>
    <w:p w14:paraId="09BD1E03" w14:textId="18575CC8" w:rsidR="00E16DF7" w:rsidRPr="007138D4" w:rsidRDefault="005E24C2" w:rsidP="007138D4">
      <w:pPr>
        <w:jc w:val="center"/>
        <w:rPr>
          <w:b/>
          <w:bCs/>
          <w:sz w:val="28"/>
          <w:szCs w:val="28"/>
        </w:rPr>
      </w:pPr>
      <w:r w:rsidRPr="007138D4">
        <w:rPr>
          <w:b/>
          <w:bCs/>
          <w:sz w:val="28"/>
          <w:szCs w:val="28"/>
        </w:rPr>
        <w:t xml:space="preserve">cu caracter personal din </w:t>
      </w:r>
      <w:r w:rsidR="007A0A2C" w:rsidRPr="007138D4">
        <w:rPr>
          <w:b/>
          <w:bCs/>
          <w:sz w:val="28"/>
          <w:szCs w:val="28"/>
        </w:rPr>
        <w:t>grupul țintă</w:t>
      </w:r>
      <w:r w:rsidR="00E16DF7" w:rsidRPr="007138D4">
        <w:rPr>
          <w:rFonts w:cstheme="minorHAnsi"/>
          <w:b/>
          <w:bCs/>
          <w:sz w:val="28"/>
          <w:szCs w:val="28"/>
        </w:rPr>
        <w:br/>
      </w:r>
    </w:p>
    <w:p w14:paraId="373517A8" w14:textId="77777777" w:rsidR="00E16DF7" w:rsidRPr="00160FE6" w:rsidRDefault="00E16DF7" w:rsidP="00E16DF7">
      <w:pPr>
        <w:rPr>
          <w:rFonts w:cstheme="minorHAnsi"/>
          <w:sz w:val="26"/>
          <w:szCs w:val="26"/>
        </w:rPr>
      </w:pPr>
      <w:r w:rsidRPr="00160FE6">
        <w:rPr>
          <w:rFonts w:cstheme="minorHAnsi"/>
          <w:sz w:val="26"/>
          <w:szCs w:val="26"/>
        </w:rPr>
        <w:t xml:space="preserve"> </w:t>
      </w:r>
    </w:p>
    <w:p w14:paraId="0AD95536" w14:textId="77FCA00E" w:rsidR="00E16DF7" w:rsidRPr="00160FE6" w:rsidRDefault="00E16DF7" w:rsidP="00160FE6">
      <w:pPr>
        <w:ind w:firstLine="720"/>
        <w:rPr>
          <w:rFonts w:cstheme="minorHAnsi"/>
          <w:sz w:val="26"/>
          <w:szCs w:val="26"/>
        </w:rPr>
      </w:pPr>
      <w:r w:rsidRPr="00160FE6">
        <w:rPr>
          <w:rFonts w:cstheme="minorHAnsi"/>
          <w:sz w:val="26"/>
          <w:szCs w:val="26"/>
        </w:rPr>
        <w:t>Camera de Comerţ, Industrie și Agricultură Dâmbovița cu sediul în</w:t>
      </w:r>
      <w:r w:rsidRPr="00160FE6">
        <w:rPr>
          <w:rFonts w:cstheme="minorHAnsi"/>
          <w:iCs/>
          <w:spacing w:val="-2"/>
          <w:sz w:val="26"/>
          <w:szCs w:val="26"/>
        </w:rPr>
        <w:t xml:space="preserve"> </w:t>
      </w:r>
      <w:r w:rsidRPr="00160FE6">
        <w:rPr>
          <w:rFonts w:cstheme="minorHAnsi"/>
          <w:iCs/>
          <w:sz w:val="26"/>
          <w:szCs w:val="26"/>
        </w:rPr>
        <w:t>Municipiul Târgoviste, str. Calea Câmpulung, nr. 6A</w:t>
      </w:r>
      <w:r w:rsidRPr="00160FE6">
        <w:rPr>
          <w:rFonts w:cstheme="minorHAnsi"/>
          <w:iCs/>
          <w:spacing w:val="-1"/>
          <w:sz w:val="26"/>
          <w:szCs w:val="26"/>
        </w:rPr>
        <w:t xml:space="preserve">, jud. Dâmbovița, </w:t>
      </w:r>
      <w:r w:rsidRPr="00160FE6">
        <w:rPr>
          <w:rFonts w:cstheme="minorHAnsi"/>
          <w:iCs/>
          <w:sz w:val="26"/>
          <w:szCs w:val="26"/>
        </w:rPr>
        <w:t>tel</w:t>
      </w:r>
      <w:r w:rsidRPr="00160FE6">
        <w:rPr>
          <w:rFonts w:cstheme="minorHAnsi"/>
          <w:iCs/>
          <w:spacing w:val="1"/>
          <w:sz w:val="26"/>
          <w:szCs w:val="26"/>
        </w:rPr>
        <w:t>. 0245.210.318</w:t>
      </w:r>
      <w:r w:rsidRPr="00160FE6">
        <w:rPr>
          <w:rFonts w:cstheme="minorHAnsi"/>
          <w:iCs/>
          <w:spacing w:val="59"/>
          <w:sz w:val="26"/>
          <w:szCs w:val="26"/>
        </w:rPr>
        <w:t>,</w:t>
      </w:r>
      <w:r w:rsidRPr="00160FE6">
        <w:rPr>
          <w:rFonts w:cstheme="minorHAnsi"/>
          <w:iCs/>
          <w:spacing w:val="-1"/>
          <w:sz w:val="26"/>
          <w:szCs w:val="26"/>
        </w:rPr>
        <w:t>e-mail info@cciadb.ro</w:t>
      </w:r>
      <w:r w:rsidRPr="00160FE6">
        <w:rPr>
          <w:rFonts w:cstheme="minorHAnsi"/>
          <w:b/>
          <w:bCs/>
          <w:iCs/>
          <w:sz w:val="26"/>
          <w:szCs w:val="26"/>
        </w:rPr>
        <w:t>,</w:t>
      </w:r>
      <w:r w:rsidRPr="00160FE6">
        <w:rPr>
          <w:rFonts w:cstheme="minorHAnsi"/>
          <w:b/>
          <w:bCs/>
          <w:iCs/>
          <w:spacing w:val="27"/>
          <w:sz w:val="26"/>
          <w:szCs w:val="26"/>
        </w:rPr>
        <w:t xml:space="preserve"> </w:t>
      </w:r>
      <w:r w:rsidRPr="00160FE6">
        <w:rPr>
          <w:rFonts w:cstheme="minorHAnsi"/>
          <w:iCs/>
          <w:sz w:val="26"/>
          <w:szCs w:val="26"/>
        </w:rPr>
        <w:t>în</w:t>
      </w:r>
      <w:r w:rsidRPr="00160FE6">
        <w:rPr>
          <w:rFonts w:cstheme="minorHAnsi"/>
          <w:iCs/>
          <w:spacing w:val="7"/>
          <w:sz w:val="26"/>
          <w:szCs w:val="26"/>
        </w:rPr>
        <w:t xml:space="preserve"> </w:t>
      </w:r>
      <w:r w:rsidRPr="00160FE6">
        <w:rPr>
          <w:rFonts w:cstheme="minorHAnsi"/>
          <w:iCs/>
          <w:spacing w:val="-1"/>
          <w:sz w:val="26"/>
          <w:szCs w:val="26"/>
        </w:rPr>
        <w:t>calitate</w:t>
      </w:r>
      <w:r w:rsidRPr="00160FE6">
        <w:rPr>
          <w:rFonts w:cstheme="minorHAnsi"/>
          <w:iCs/>
          <w:spacing w:val="7"/>
          <w:sz w:val="26"/>
          <w:szCs w:val="26"/>
        </w:rPr>
        <w:t xml:space="preserve"> </w:t>
      </w:r>
      <w:r w:rsidRPr="00160FE6">
        <w:rPr>
          <w:rFonts w:cstheme="minorHAnsi"/>
          <w:iCs/>
          <w:spacing w:val="-1"/>
          <w:sz w:val="26"/>
          <w:szCs w:val="26"/>
        </w:rPr>
        <w:t>de</w:t>
      </w:r>
      <w:r w:rsidRPr="00160FE6">
        <w:rPr>
          <w:rFonts w:cstheme="minorHAnsi"/>
          <w:b/>
          <w:bCs/>
          <w:i/>
          <w:spacing w:val="7"/>
          <w:sz w:val="26"/>
          <w:szCs w:val="26"/>
        </w:rPr>
        <w:t xml:space="preserve"> Beneficiar</w:t>
      </w:r>
      <w:r w:rsidRPr="00160FE6">
        <w:rPr>
          <w:rFonts w:cstheme="minorHAnsi"/>
          <w:sz w:val="26"/>
          <w:szCs w:val="26"/>
        </w:rPr>
        <w:t xml:space="preserve">, în implementarea proiectului </w:t>
      </w:r>
      <w:r w:rsidRPr="00160FE6">
        <w:rPr>
          <w:rFonts w:cstheme="minorHAnsi"/>
          <w:b/>
          <w:bCs/>
          <w:sz w:val="26"/>
          <w:szCs w:val="26"/>
        </w:rPr>
        <w:t>IMM DIGITall</w:t>
      </w:r>
      <w:r w:rsidRPr="00160FE6">
        <w:rPr>
          <w:rFonts w:cstheme="minorHAnsi"/>
          <w:sz w:val="26"/>
          <w:szCs w:val="26"/>
        </w:rPr>
        <w:t xml:space="preserve"> - Dezvoltarea integrată a competențelor digitale pentru angajații și specialiștii IT care activează în sectoarele SNC/domeniile SNCDI la nivelul Regiunii Sud-Muntenia </w:t>
      </w:r>
      <w:r w:rsidRPr="00160FE6">
        <w:rPr>
          <w:rFonts w:cstheme="minorHAnsi"/>
          <w:b/>
          <w:bCs/>
          <w:sz w:val="26"/>
          <w:szCs w:val="26"/>
        </w:rPr>
        <w:t>(POCU/860/3/12/141968)</w:t>
      </w:r>
      <w:r w:rsidR="00160FE6">
        <w:rPr>
          <w:rFonts w:cstheme="minorHAnsi"/>
          <w:b/>
          <w:bCs/>
          <w:sz w:val="26"/>
          <w:szCs w:val="26"/>
        </w:rPr>
        <w:t xml:space="preserve"> </w:t>
      </w:r>
      <w:r w:rsidRPr="00160FE6">
        <w:rPr>
          <w:rFonts w:cstheme="minorHAnsi"/>
          <w:sz w:val="26"/>
          <w:szCs w:val="26"/>
        </w:rPr>
        <w:t xml:space="preserve">respectă confidenţialitatea tuturor cursanților sau persoanelor împlicate în buna desfășurare a proiectului </w:t>
      </w:r>
      <w:r w:rsidRPr="00160FE6">
        <w:rPr>
          <w:rFonts w:cstheme="minorHAnsi"/>
          <w:b/>
          <w:bCs/>
          <w:sz w:val="26"/>
          <w:szCs w:val="26"/>
        </w:rPr>
        <w:t>IMM DIGITall</w:t>
      </w:r>
      <w:r w:rsidRPr="00160FE6">
        <w:rPr>
          <w:rFonts w:cstheme="minorHAnsi"/>
          <w:sz w:val="26"/>
          <w:szCs w:val="26"/>
        </w:rPr>
        <w:t xml:space="preserve"> şi va trata/prelucra datele personale cu mare atenţie, în condiţii tehnice şi organizatorice de securitate adecvată. </w:t>
      </w:r>
    </w:p>
    <w:p w14:paraId="4EA6AF8A" w14:textId="61FB743B" w:rsidR="00E16DF7" w:rsidRPr="00A34809" w:rsidRDefault="0064174C" w:rsidP="00A34809">
      <w:pPr>
        <w:ind w:firstLine="720"/>
        <w:rPr>
          <w:rFonts w:cstheme="minorHAnsi"/>
          <w:sz w:val="26"/>
          <w:szCs w:val="26"/>
        </w:rPr>
      </w:pPr>
      <w:r w:rsidRPr="00A34809">
        <w:rPr>
          <w:rFonts w:cstheme="minorHAnsi"/>
          <w:sz w:val="26"/>
          <w:szCs w:val="26"/>
        </w:rPr>
        <w:t>Camera de Comerţ, Industrie și Agricultură Dâmbovița</w:t>
      </w:r>
      <w:r w:rsidR="00E16DF7" w:rsidRPr="00A34809">
        <w:rPr>
          <w:rFonts w:cstheme="minorHAnsi"/>
          <w:sz w:val="26"/>
          <w:szCs w:val="26"/>
        </w:rPr>
        <w:t xml:space="preserve"> prelucrează datele cu caracter personal</w:t>
      </w:r>
      <w:r w:rsidRPr="00A34809">
        <w:rPr>
          <w:rFonts w:cstheme="minorHAnsi"/>
          <w:sz w:val="26"/>
          <w:szCs w:val="26"/>
        </w:rPr>
        <w:t>,</w:t>
      </w:r>
      <w:r w:rsidR="00E16DF7" w:rsidRPr="00A34809">
        <w:rPr>
          <w:rFonts w:cstheme="minorHAnsi"/>
          <w:sz w:val="26"/>
          <w:szCs w:val="26"/>
        </w:rPr>
        <w:t xml:space="preserve"> primite direct de la </w:t>
      </w:r>
      <w:r w:rsidR="00C7196F" w:rsidRPr="00A34809">
        <w:rPr>
          <w:rFonts w:cstheme="minorHAnsi"/>
          <w:sz w:val="26"/>
          <w:szCs w:val="26"/>
        </w:rPr>
        <w:t>entitatea grupului țintă</w:t>
      </w:r>
      <w:r w:rsidR="00E16DF7" w:rsidRPr="00A34809">
        <w:rPr>
          <w:rFonts w:cstheme="minorHAnsi"/>
          <w:sz w:val="26"/>
          <w:szCs w:val="26"/>
        </w:rPr>
        <w:t xml:space="preserve">, în calitate de persoane </w:t>
      </w:r>
      <w:r w:rsidR="00C7196F" w:rsidRPr="00A34809">
        <w:rPr>
          <w:rFonts w:cstheme="minorHAnsi"/>
          <w:sz w:val="26"/>
          <w:szCs w:val="26"/>
        </w:rPr>
        <w:t xml:space="preserve">vizate </w:t>
      </w:r>
      <w:r w:rsidR="00E16DF7" w:rsidRPr="00A34809">
        <w:rPr>
          <w:rFonts w:cstheme="minorHAnsi"/>
          <w:sz w:val="26"/>
          <w:szCs w:val="26"/>
        </w:rPr>
        <w:t xml:space="preserve">sau indirect cu ocazia derulării cursurilor, organizate de către </w:t>
      </w:r>
      <w:r w:rsidR="005913A8" w:rsidRPr="00A34809">
        <w:rPr>
          <w:rFonts w:cstheme="minorHAnsi"/>
          <w:sz w:val="26"/>
          <w:szCs w:val="26"/>
        </w:rPr>
        <w:t>beneficiar sau unul dintre parteneri</w:t>
      </w:r>
      <w:r w:rsidR="00E16DF7" w:rsidRPr="00A34809">
        <w:rPr>
          <w:rFonts w:cstheme="minorHAnsi"/>
          <w:sz w:val="26"/>
          <w:szCs w:val="26"/>
        </w:rPr>
        <w:t xml:space="preserve"> şi/sau în incinta sediului sau a altor săli de cursuri.</w:t>
      </w:r>
    </w:p>
    <w:p w14:paraId="6BA92070" w14:textId="014AF8A8" w:rsidR="00E16DF7" w:rsidRPr="00A34809" w:rsidRDefault="00E16DF7" w:rsidP="00E16DF7">
      <w:pPr>
        <w:rPr>
          <w:rFonts w:cstheme="minorHAnsi"/>
          <w:sz w:val="26"/>
          <w:szCs w:val="26"/>
        </w:rPr>
      </w:pPr>
      <w:r w:rsidRPr="00A34809">
        <w:rPr>
          <w:rFonts w:cstheme="minorHAnsi"/>
          <w:sz w:val="26"/>
          <w:szCs w:val="26"/>
        </w:rPr>
        <w:t xml:space="preserve"> Datele cu caracter personal sunt colectate numai cu acordul/acceptul </w:t>
      </w:r>
      <w:r w:rsidR="004355F0" w:rsidRPr="00A34809">
        <w:rPr>
          <w:rFonts w:cstheme="minorHAnsi"/>
          <w:sz w:val="26"/>
          <w:szCs w:val="26"/>
        </w:rPr>
        <w:t>entităț</w:t>
      </w:r>
      <w:r w:rsidR="00A34809" w:rsidRPr="00A34809">
        <w:rPr>
          <w:rFonts w:cstheme="minorHAnsi"/>
          <w:sz w:val="26"/>
          <w:szCs w:val="26"/>
        </w:rPr>
        <w:t>i</w:t>
      </w:r>
      <w:r w:rsidR="004355F0" w:rsidRPr="00A34809">
        <w:rPr>
          <w:rFonts w:cstheme="minorHAnsi"/>
          <w:sz w:val="26"/>
          <w:szCs w:val="26"/>
        </w:rPr>
        <w:t xml:space="preserve">i </w:t>
      </w:r>
      <w:r w:rsidR="0064174C" w:rsidRPr="00A34809">
        <w:rPr>
          <w:rFonts w:cstheme="minorHAnsi"/>
          <w:sz w:val="26"/>
          <w:szCs w:val="26"/>
        </w:rPr>
        <w:t>grupului țintă</w:t>
      </w:r>
      <w:r w:rsidRPr="00A34809">
        <w:rPr>
          <w:rFonts w:cstheme="minorHAnsi"/>
          <w:sz w:val="26"/>
          <w:szCs w:val="26"/>
        </w:rPr>
        <w:t xml:space="preserve"> și  sunt oferite cu bună ştiinţă. </w:t>
      </w:r>
    </w:p>
    <w:p w14:paraId="2FBB9923" w14:textId="77777777" w:rsidR="00160FE6" w:rsidRPr="00AC52A4" w:rsidRDefault="00160FE6" w:rsidP="00160FE6">
      <w:pPr>
        <w:spacing w:after="0"/>
        <w:textAlignment w:val="baseline"/>
        <w:rPr>
          <w:rFonts w:ascii="Calibri" w:eastAsia="Times New Roman" w:hAnsi="Calibri" w:cs="Calibri"/>
          <w:noProof w:val="0"/>
          <w:color w:val="000000"/>
          <w:sz w:val="26"/>
          <w:szCs w:val="26"/>
          <w:bdr w:val="none" w:sz="0" w:space="0" w:color="auto" w:frame="1"/>
          <w:lang w:eastAsia="en-GB"/>
        </w:rPr>
      </w:pPr>
      <w:r w:rsidRPr="00AC52A4">
        <w:rPr>
          <w:rFonts w:ascii="Calibri" w:eastAsia="Times New Roman" w:hAnsi="Calibri" w:cs="Calibri"/>
          <w:noProof w:val="0"/>
          <w:color w:val="000000"/>
          <w:szCs w:val="24"/>
          <w:bdr w:val="none" w:sz="0" w:space="0" w:color="auto" w:frame="1"/>
          <w:lang w:eastAsia="en-GB"/>
        </w:rPr>
        <w:tab/>
      </w:r>
      <w:r w:rsidRPr="00AC52A4">
        <w:rPr>
          <w:rFonts w:ascii="Calibri" w:eastAsia="Times New Roman" w:hAnsi="Calibri" w:cs="Calibri"/>
          <w:noProof w:val="0"/>
          <w:color w:val="000000"/>
          <w:sz w:val="26"/>
          <w:szCs w:val="26"/>
          <w:bdr w:val="none" w:sz="0" w:space="0" w:color="auto" w:frame="1"/>
          <w:lang w:eastAsia="en-GB"/>
        </w:rPr>
        <w:t>Evaluarea impactului asupra protecției datelor (DPIA) este un proces destinat să descrie prelucrarea, să evalueze necesitatea și proporționalitatea acesteia și să contribuie la gestionarea riscurilor la adresa drepturilor și libertăților persoanelor vizate rezultate din prelucrarea datelor cu caracter personal , prin evaluarea acestora și stabilirea de măsuri pentru atenuarea lor.</w:t>
      </w:r>
    </w:p>
    <w:p w14:paraId="4AEEA2EA" w14:textId="77777777" w:rsidR="00160FE6" w:rsidRPr="00AC52A4" w:rsidRDefault="00160FE6" w:rsidP="00160FE6">
      <w:pPr>
        <w:spacing w:after="0"/>
        <w:ind w:firstLine="708"/>
        <w:textAlignment w:val="baseline"/>
        <w:rPr>
          <w:rFonts w:ascii="Segoe UI" w:eastAsia="Times New Roman" w:hAnsi="Segoe UI" w:cs="Segoe UI"/>
          <w:noProof w:val="0"/>
          <w:color w:val="000000"/>
          <w:sz w:val="26"/>
          <w:szCs w:val="26"/>
          <w:lang w:val="pt-BR" w:eastAsia="en-GB"/>
        </w:rPr>
      </w:pPr>
      <w:r w:rsidRPr="00AC52A4">
        <w:rPr>
          <w:rFonts w:ascii="Calibri" w:eastAsia="Times New Roman" w:hAnsi="Calibri" w:cs="Calibri"/>
          <w:noProof w:val="0"/>
          <w:color w:val="000000"/>
          <w:sz w:val="26"/>
          <w:szCs w:val="26"/>
          <w:bdr w:val="none" w:sz="0" w:space="0" w:color="auto" w:frame="1"/>
          <w:lang w:eastAsia="en-GB"/>
        </w:rPr>
        <w:t xml:space="preserve">Evaluarea impactului asupra protecției datelor (DPIA)  reprezintă un instrument important pentru responsabilizare deoarece ajută operatorii de date, nu numai să respecte cerințele GDPR, ci și să demonstreze că au fost luate măsuri adecvate pentru a asigura conformitatea cu Regulamentul. </w:t>
      </w:r>
      <w:r w:rsidRPr="00AC52A4">
        <w:rPr>
          <w:rFonts w:ascii="Calibri" w:eastAsia="Times New Roman" w:hAnsi="Calibri" w:cs="Calibri"/>
          <w:noProof w:val="0"/>
          <w:color w:val="000000"/>
          <w:sz w:val="26"/>
          <w:szCs w:val="26"/>
          <w:bdr w:val="none" w:sz="0" w:space="0" w:color="auto" w:frame="1"/>
          <w:lang w:val="pt-BR" w:eastAsia="en-GB"/>
        </w:rPr>
        <w:t xml:space="preserve">Cu alte cuvinte, </w:t>
      </w:r>
      <w:r w:rsidRPr="00AC52A4">
        <w:rPr>
          <w:rFonts w:ascii="Calibri" w:eastAsia="Times New Roman" w:hAnsi="Calibri" w:cs="Calibri"/>
          <w:noProof w:val="0"/>
          <w:color w:val="000000"/>
          <w:szCs w:val="24"/>
          <w:bdr w:val="none" w:sz="0" w:space="0" w:color="auto" w:frame="1"/>
          <w:lang w:eastAsia="en-GB"/>
        </w:rPr>
        <w:t>e</w:t>
      </w:r>
      <w:r w:rsidRPr="00AC52A4">
        <w:rPr>
          <w:rFonts w:ascii="Calibri" w:eastAsia="Times New Roman" w:hAnsi="Calibri" w:cs="Calibri"/>
          <w:noProof w:val="0"/>
          <w:color w:val="000000"/>
          <w:sz w:val="26"/>
          <w:szCs w:val="26"/>
          <w:bdr w:val="none" w:sz="0" w:space="0" w:color="auto" w:frame="1"/>
          <w:lang w:eastAsia="en-GB"/>
        </w:rPr>
        <w:t xml:space="preserve">valuarea impactului asupra protecției datelor (DPIA) </w:t>
      </w:r>
      <w:r w:rsidRPr="00AC52A4">
        <w:rPr>
          <w:rFonts w:ascii="Calibri" w:eastAsia="Times New Roman" w:hAnsi="Calibri" w:cs="Calibri"/>
          <w:noProof w:val="0"/>
          <w:color w:val="000000"/>
          <w:sz w:val="26"/>
          <w:szCs w:val="26"/>
          <w:bdr w:val="none" w:sz="0" w:space="0" w:color="auto" w:frame="1"/>
          <w:lang w:val="pt-BR" w:eastAsia="en-GB"/>
        </w:rPr>
        <w:t>reprezintă un proces pentru construirea și demonstrarea conformității.</w:t>
      </w:r>
    </w:p>
    <w:p w14:paraId="3FECC49F" w14:textId="77777777" w:rsidR="00160FE6" w:rsidRPr="00AC52A4" w:rsidRDefault="00160FE6" w:rsidP="00160FE6">
      <w:pPr>
        <w:spacing w:after="0"/>
        <w:textAlignment w:val="baseline"/>
        <w:rPr>
          <w:rFonts w:ascii="Calibri" w:eastAsia="Times New Roman" w:hAnsi="Calibri" w:cs="Calibri"/>
          <w:noProof w:val="0"/>
          <w:color w:val="000000"/>
          <w:sz w:val="26"/>
          <w:szCs w:val="26"/>
          <w:bdr w:val="none" w:sz="0" w:space="0" w:color="auto" w:frame="1"/>
          <w:lang w:val="pt-BR" w:eastAsia="en-GB"/>
        </w:rPr>
      </w:pP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en-GB" w:eastAsia="en-GB"/>
        </w:rPr>
        <w:t> </w:t>
      </w:r>
      <w:r w:rsidRPr="00AC52A4">
        <w:rPr>
          <w:rFonts w:ascii="Calibri" w:eastAsia="Times New Roman" w:hAnsi="Calibri" w:cs="Calibri"/>
          <w:noProof w:val="0"/>
          <w:color w:val="000000"/>
          <w:sz w:val="26"/>
          <w:szCs w:val="26"/>
          <w:bdr w:val="none" w:sz="0" w:space="0" w:color="auto" w:frame="1"/>
          <w:lang w:val="pt-BR" w:eastAsia="en-GB"/>
        </w:rPr>
        <w:t>GDPR cere operatorilor să implementeze măsuri adecvate pentru a asigura și demonstra conformitatea cu RGPD, luând în considerare, printre altele, „riscurile de variație a probabilității și gravității asupra drepturilor și libertăților persoanelor fizice”. Obligația operatorilor de a realiza e</w:t>
      </w:r>
      <w:r w:rsidRPr="00AC52A4">
        <w:rPr>
          <w:rFonts w:ascii="Calibri" w:eastAsia="Times New Roman" w:hAnsi="Calibri" w:cs="Calibri"/>
          <w:noProof w:val="0"/>
          <w:color w:val="000000"/>
          <w:sz w:val="26"/>
          <w:szCs w:val="26"/>
          <w:bdr w:val="none" w:sz="0" w:space="0" w:color="auto" w:frame="1"/>
          <w:lang w:eastAsia="en-GB"/>
        </w:rPr>
        <w:t xml:space="preserve">valuarea impactului asupra protecției datelor </w:t>
      </w:r>
      <w:r w:rsidRPr="00AC52A4">
        <w:rPr>
          <w:rFonts w:ascii="Calibri" w:eastAsia="Times New Roman" w:hAnsi="Calibri" w:cs="Calibri"/>
          <w:noProof w:val="0"/>
          <w:color w:val="000000"/>
          <w:sz w:val="26"/>
          <w:szCs w:val="26"/>
          <w:bdr w:val="none" w:sz="0" w:space="0" w:color="auto" w:frame="1"/>
          <w:lang w:val="pt-BR" w:eastAsia="en-GB"/>
        </w:rPr>
        <w:t xml:space="preserve">în anumite situații ar trebui înțeleasă în contextul obligației lor generale de a </w:t>
      </w:r>
      <w:r w:rsidRPr="00AC52A4">
        <w:rPr>
          <w:rFonts w:ascii="Calibri" w:eastAsia="Times New Roman" w:hAnsi="Calibri" w:cs="Calibri"/>
          <w:noProof w:val="0"/>
          <w:color w:val="000000"/>
          <w:sz w:val="26"/>
          <w:szCs w:val="26"/>
          <w:bdr w:val="none" w:sz="0" w:space="0" w:color="auto" w:frame="1"/>
          <w:lang w:val="pt-BR" w:eastAsia="en-GB"/>
        </w:rPr>
        <w:lastRenderedPageBreak/>
        <w:t xml:space="preserve">gestiona în mod corespunzător riscurile prezentate de prelucrarea datelor cu caracter personal. </w:t>
      </w:r>
    </w:p>
    <w:p w14:paraId="793FEAE4" w14:textId="77777777" w:rsidR="00160FE6" w:rsidRPr="00AC52A4" w:rsidRDefault="00160FE6" w:rsidP="00160FE6">
      <w:pPr>
        <w:spacing w:after="0"/>
        <w:ind w:firstLine="708"/>
        <w:textAlignment w:val="baseline"/>
        <w:rPr>
          <w:rFonts w:ascii="Calibri" w:eastAsia="Times New Roman" w:hAnsi="Calibri" w:cs="Calibri"/>
          <w:noProof w:val="0"/>
          <w:color w:val="000000"/>
          <w:sz w:val="26"/>
          <w:szCs w:val="26"/>
          <w:bdr w:val="none" w:sz="0" w:space="0" w:color="auto" w:frame="1"/>
          <w:lang w:val="pt-BR" w:eastAsia="en-GB"/>
        </w:rPr>
      </w:pPr>
      <w:r w:rsidRPr="00AC52A4">
        <w:rPr>
          <w:rFonts w:ascii="Calibri" w:eastAsia="Times New Roman" w:hAnsi="Calibri" w:cs="Calibri"/>
          <w:noProof w:val="0"/>
          <w:color w:val="000000"/>
          <w:sz w:val="26"/>
          <w:szCs w:val="26"/>
          <w:bdr w:val="none" w:sz="0" w:space="0" w:color="auto" w:frame="1"/>
          <w:lang w:val="pt-BR" w:eastAsia="en-GB"/>
        </w:rPr>
        <w:t>Un „risc” reprezintă un scenariu care descrie un eveniment și consecințele acestuia, estimat în termeni de severitate și probabilitate. Pe de altă parte, „managementul riscului” poate fi definit ca fiind activitățile coordonate pentru a conduce și controla o organizație cu privire la un risc.</w:t>
      </w:r>
    </w:p>
    <w:p w14:paraId="24231295" w14:textId="77777777" w:rsidR="00160FE6" w:rsidRPr="00AC52A4" w:rsidRDefault="00160FE6" w:rsidP="00160FE6">
      <w:pPr>
        <w:spacing w:after="0"/>
        <w:ind w:firstLine="708"/>
        <w:textAlignment w:val="baseline"/>
        <w:rPr>
          <w:rFonts w:ascii="Segoe UI" w:eastAsia="Times New Roman" w:hAnsi="Segoe UI" w:cs="Segoe UI"/>
          <w:noProof w:val="0"/>
          <w:color w:val="000000"/>
          <w:sz w:val="26"/>
          <w:szCs w:val="26"/>
          <w:lang w:eastAsia="en-GB"/>
        </w:rPr>
      </w:pPr>
      <w:r w:rsidRPr="00AC52A4">
        <w:rPr>
          <w:sz w:val="26"/>
          <w:szCs w:val="26"/>
        </w:rPr>
        <w:t>Suplimentar, GDPR impune o procedură de revizuire periodică, analiză și evaluare a eficacității măsurilor tehnice și organizatorice (art. 32 alin. (1) lit. (d) din GDPR). GDPR oferă posibilitatea evaluării procedurilor bazate pe IT în codurile de conduită și prin mecanisme de certificare (art. 40-43 ale GDPR). Articolul 5 al GDPR / art.4 din Legea nr. 133/2011 stabilește principiile de bază pentru prelucrarea datelor cu caracter personal: datele cu caracter personal sunt prelucrate în mod legal, corect și transparent, colectate în scopuri precise, explicite și legitime, bazate pe date exacte, protejate împotriva pierderii, distrugerii sau deteriorării și într-un fel care asigură integritatea și confidențialitatea acestora.</w:t>
      </w:r>
    </w:p>
    <w:p w14:paraId="708CAB61" w14:textId="77777777" w:rsidR="00160FE6" w:rsidRPr="00AC52A4" w:rsidRDefault="00160FE6" w:rsidP="00160FE6">
      <w:pPr>
        <w:shd w:val="clear" w:color="auto" w:fill="FFFFFF"/>
        <w:outlineLvl w:val="0"/>
        <w:rPr>
          <w:rFonts w:eastAsia="Times New Roman" w:cstheme="minorHAnsi"/>
          <w:kern w:val="36"/>
          <w:sz w:val="26"/>
          <w:szCs w:val="26"/>
          <w:lang w:eastAsia="en-GB"/>
        </w:rPr>
      </w:pPr>
    </w:p>
    <w:p w14:paraId="5F978C7E" w14:textId="77777777" w:rsidR="00160FE6" w:rsidRPr="00AC52A4" w:rsidRDefault="00160FE6" w:rsidP="00160FE6">
      <w:pPr>
        <w:shd w:val="clear" w:color="auto" w:fill="FFFFFF"/>
        <w:outlineLvl w:val="0"/>
        <w:rPr>
          <w:rFonts w:eastAsia="Times New Roman" w:cstheme="minorHAnsi"/>
          <w:kern w:val="36"/>
          <w:sz w:val="26"/>
          <w:szCs w:val="26"/>
          <w:lang w:eastAsia="en-GB"/>
        </w:rPr>
      </w:pPr>
      <w:r w:rsidRPr="00AC52A4">
        <w:rPr>
          <w:rFonts w:eastAsia="Times New Roman" w:cstheme="minorHAnsi"/>
          <w:kern w:val="36"/>
          <w:sz w:val="26"/>
          <w:szCs w:val="26"/>
          <w:lang w:eastAsia="en-GB"/>
        </w:rPr>
        <w:t>Gestionarea riscurilor în domeniul prelucrării datelor cu caracter personal</w:t>
      </w:r>
    </w:p>
    <w:p w14:paraId="53F5991C" w14:textId="77777777" w:rsidR="00160FE6" w:rsidRPr="00AC52A4" w:rsidRDefault="00160FE6" w:rsidP="00160FE6">
      <w:pPr>
        <w:shd w:val="clear" w:color="auto" w:fill="FFFFFF"/>
        <w:spacing w:after="0"/>
        <w:ind w:firstLine="708"/>
        <w:rPr>
          <w:rFonts w:eastAsia="Times New Roman" w:cstheme="minorHAnsi"/>
          <w:sz w:val="26"/>
          <w:szCs w:val="26"/>
          <w:lang w:eastAsia="en-GB"/>
        </w:rPr>
      </w:pPr>
      <w:r w:rsidRPr="00AC52A4">
        <w:rPr>
          <w:rFonts w:eastAsia="Times New Roman" w:cstheme="minorHAnsi"/>
          <w:sz w:val="26"/>
          <w:szCs w:val="26"/>
          <w:lang w:eastAsia="en-GB"/>
        </w:rPr>
        <w:t>În cazul în care au fost identificate prelucrări de date cu caracter personal susceptibile de a prezenta riscuri ridicate pentru drepturile și libertatile persoanelor fizice, operatorul va efectua o evaluare a impactului asupra protecției datelor, în condițiile art. 35 din Regulamentul General privind Protecția Datelor.</w:t>
      </w:r>
    </w:p>
    <w:p w14:paraId="0FFFB120" w14:textId="176B7160" w:rsidR="00160FE6" w:rsidRPr="00AC52A4" w:rsidRDefault="00160FE6" w:rsidP="00160FE6">
      <w:pPr>
        <w:shd w:val="clear" w:color="auto" w:fill="FFFFFF"/>
        <w:spacing w:after="0"/>
        <w:ind w:firstLine="708"/>
        <w:rPr>
          <w:rFonts w:eastAsia="Times New Roman" w:cstheme="minorHAnsi"/>
          <w:sz w:val="26"/>
          <w:szCs w:val="26"/>
          <w:lang w:val="pt-BR" w:eastAsia="en-GB"/>
        </w:rPr>
      </w:pPr>
      <w:r w:rsidRPr="00AC52A4">
        <w:rPr>
          <w:rFonts w:eastAsia="Times New Roman" w:cstheme="minorHAnsi"/>
          <w:sz w:val="26"/>
          <w:szCs w:val="26"/>
          <w:lang w:val="pt-BR" w:eastAsia="en-GB"/>
        </w:rPr>
        <w:t>Evaluarea impactului asupra protecției datelor se realizează anterior colectării datelor cu caracter personal si efectuarii prelucrarii. Se va pune accent pe estimarea riscurilor asupra protecției datelor din punctul de vedere al persoanelor vizate, luând în considerare natura datelor, domeniul de aplicare, contextul și scopurile prelucrării și utilizarea noilor tehnologii. Evaluarea impactului asupra protecției datelor presupune:</w:t>
      </w:r>
      <w:r w:rsidRPr="00AC52A4">
        <w:rPr>
          <w:rFonts w:eastAsia="Times New Roman" w:cstheme="minorHAnsi"/>
          <w:sz w:val="26"/>
          <w:szCs w:val="26"/>
          <w:lang w:val="pt-BR" w:eastAsia="en-GB"/>
        </w:rPr>
        <w:br/>
        <w:t>-</w:t>
      </w:r>
      <w:r w:rsidR="00A34809">
        <w:rPr>
          <w:rFonts w:eastAsia="Times New Roman" w:cstheme="minorHAnsi"/>
          <w:sz w:val="26"/>
          <w:szCs w:val="26"/>
          <w:lang w:val="pt-BR" w:eastAsia="en-GB"/>
        </w:rPr>
        <w:t xml:space="preserve"> </w:t>
      </w:r>
      <w:r w:rsidRPr="00AC52A4">
        <w:rPr>
          <w:rFonts w:eastAsia="Times New Roman" w:cstheme="minorHAnsi"/>
          <w:sz w:val="26"/>
          <w:szCs w:val="26"/>
          <w:lang w:val="pt-BR" w:eastAsia="en-GB"/>
        </w:rPr>
        <w:t>o</w:t>
      </w:r>
      <w:r w:rsidR="00A34809">
        <w:rPr>
          <w:rFonts w:eastAsia="Times New Roman" w:cstheme="minorHAnsi"/>
          <w:sz w:val="26"/>
          <w:szCs w:val="26"/>
          <w:lang w:val="pt-BR" w:eastAsia="en-GB"/>
        </w:rPr>
        <w:t xml:space="preserve"> </w:t>
      </w:r>
      <w:r w:rsidRPr="00AC52A4">
        <w:rPr>
          <w:rFonts w:eastAsia="Times New Roman" w:cstheme="minorHAnsi"/>
          <w:sz w:val="26"/>
          <w:szCs w:val="26"/>
          <w:lang w:val="pt-BR" w:eastAsia="en-GB"/>
        </w:rPr>
        <w:t>descriere a prelucrării de date efectuate și a scopurilor acesteia;</w:t>
      </w:r>
      <w:r w:rsidRPr="00AC52A4">
        <w:rPr>
          <w:rFonts w:eastAsia="Times New Roman" w:cstheme="minorHAnsi"/>
          <w:sz w:val="26"/>
          <w:szCs w:val="26"/>
          <w:lang w:val="pt-BR" w:eastAsia="en-GB"/>
        </w:rPr>
        <w:br/>
        <w:t>- o evaluare a necesității și a proportionalității prelucrării de date efectuate;</w:t>
      </w:r>
      <w:r w:rsidRPr="00AC52A4">
        <w:rPr>
          <w:rFonts w:eastAsia="Times New Roman" w:cstheme="minorHAnsi"/>
          <w:sz w:val="26"/>
          <w:szCs w:val="26"/>
          <w:lang w:val="pt-BR" w:eastAsia="en-GB"/>
        </w:rPr>
        <w:br/>
        <w:t>- o estimare a riscurilor asupra drepturilor și libertăților persoanelor vizate;</w:t>
      </w:r>
      <w:r w:rsidRPr="00AC52A4">
        <w:rPr>
          <w:rFonts w:eastAsia="Times New Roman" w:cstheme="minorHAnsi"/>
          <w:sz w:val="26"/>
          <w:szCs w:val="26"/>
          <w:lang w:val="pt-BR" w:eastAsia="en-GB"/>
        </w:rPr>
        <w:br/>
        <w:t xml:space="preserve">- măsurile prevazute pentru a trata riscurile și a asigura conformitatea cu dispozitiile </w:t>
      </w:r>
      <w:r w:rsidRPr="00AC52A4">
        <w:rPr>
          <w:rFonts w:eastAsia="Times New Roman" w:cstheme="minorHAnsi"/>
          <w:sz w:val="26"/>
          <w:szCs w:val="26"/>
          <w:lang w:eastAsia="en-GB"/>
        </w:rPr>
        <w:t>Regulamentul General privind Protecția Datelor</w:t>
      </w:r>
      <w:r w:rsidRPr="00AC52A4">
        <w:rPr>
          <w:rFonts w:eastAsia="Times New Roman" w:cstheme="minorHAnsi"/>
          <w:sz w:val="26"/>
          <w:szCs w:val="26"/>
          <w:lang w:val="pt-BR" w:eastAsia="en-GB"/>
        </w:rPr>
        <w:t xml:space="preserve">. </w:t>
      </w:r>
    </w:p>
    <w:p w14:paraId="5F3AC5F4" w14:textId="77777777" w:rsidR="00160FE6" w:rsidRPr="00AC52A4" w:rsidRDefault="00160FE6" w:rsidP="00160FE6">
      <w:pPr>
        <w:shd w:val="clear" w:color="auto" w:fill="FFFFFF"/>
        <w:spacing w:after="0"/>
        <w:ind w:firstLine="708"/>
        <w:rPr>
          <w:rFonts w:eastAsia="Times New Roman" w:cstheme="minorHAnsi"/>
          <w:sz w:val="26"/>
          <w:szCs w:val="26"/>
          <w:lang w:val="pt-BR" w:eastAsia="en-GB"/>
        </w:rPr>
      </w:pPr>
      <w:r w:rsidRPr="00AC52A4">
        <w:rPr>
          <w:rFonts w:eastAsia="Times New Roman" w:cstheme="minorHAnsi"/>
          <w:sz w:val="26"/>
          <w:szCs w:val="26"/>
          <w:lang w:val="pt-BR" w:eastAsia="en-GB"/>
        </w:rPr>
        <w:t>Evaluarea impactului asupra protectiei datelor permite:</w:t>
      </w:r>
      <w:r w:rsidRPr="00AC52A4">
        <w:rPr>
          <w:rFonts w:eastAsia="Times New Roman" w:cstheme="minorHAnsi"/>
          <w:sz w:val="26"/>
          <w:szCs w:val="26"/>
          <w:lang w:val="pt-BR" w:eastAsia="en-GB"/>
        </w:rPr>
        <w:br/>
        <w:t>- realizarea unei prelucrari de date cu caracter personal sau a unui produs care respecta viata privata;</w:t>
      </w:r>
      <w:r w:rsidRPr="00AC52A4">
        <w:rPr>
          <w:rFonts w:eastAsia="Times New Roman" w:cstheme="minorHAnsi"/>
          <w:sz w:val="26"/>
          <w:szCs w:val="26"/>
          <w:lang w:val="pt-BR" w:eastAsia="en-GB"/>
        </w:rPr>
        <w:br/>
        <w:t>- estimarea impactului asupra vietii private a persoanelor vizate;</w:t>
      </w:r>
      <w:r w:rsidRPr="00AC52A4">
        <w:rPr>
          <w:rFonts w:eastAsia="Times New Roman" w:cstheme="minorHAnsi"/>
          <w:sz w:val="26"/>
          <w:szCs w:val="26"/>
          <w:lang w:val="pt-BR" w:eastAsia="en-GB"/>
        </w:rPr>
        <w:br/>
        <w:t xml:space="preserve">- demonstarea faptului ca principiile fundamentale ale Regulamentul General privind </w:t>
      </w:r>
      <w:r w:rsidRPr="00AC52A4">
        <w:rPr>
          <w:rFonts w:eastAsia="Times New Roman" w:cstheme="minorHAnsi"/>
          <w:sz w:val="26"/>
          <w:szCs w:val="26"/>
          <w:lang w:val="pt-BR" w:eastAsia="en-GB"/>
        </w:rPr>
        <w:lastRenderedPageBreak/>
        <w:t xml:space="preserve">Protectia Datelor sunt respectate. Evaluarea impactului asupra protecției datelor se impune, mai ales, în cazul: </w:t>
      </w:r>
    </w:p>
    <w:p w14:paraId="6CC91DB8" w14:textId="77777777" w:rsidR="00160FE6" w:rsidRPr="00AC52A4" w:rsidRDefault="00160FE6" w:rsidP="00160FE6">
      <w:pPr>
        <w:pStyle w:val="ListParagraph"/>
        <w:numPr>
          <w:ilvl w:val="0"/>
          <w:numId w:val="22"/>
        </w:numPr>
        <w:shd w:val="clear" w:color="auto" w:fill="FFFFFF"/>
        <w:spacing w:after="0"/>
        <w:rPr>
          <w:rFonts w:eastAsia="Times New Roman" w:cstheme="minorHAnsi"/>
          <w:sz w:val="26"/>
          <w:szCs w:val="26"/>
          <w:lang w:val="pt-BR" w:eastAsia="en-GB"/>
        </w:rPr>
      </w:pPr>
      <w:r w:rsidRPr="00AC52A4">
        <w:rPr>
          <w:rFonts w:eastAsia="Times New Roman" w:cstheme="minorHAnsi"/>
          <w:sz w:val="26"/>
          <w:szCs w:val="26"/>
          <w:lang w:val="pt-BR" w:eastAsia="en-GB"/>
        </w:rPr>
        <w:t xml:space="preserve">unei evaluări sistematice și cuprinzătoare a aspectelor personale referitoare la persoane fizice, care se bazează pe prelucrarea automată, inclusiv crearea de profiluri, și care sta la baza unor decizii care produc efecte juridice privind persoana fizică sau care o afecteaza în mod similar într-o măsură semnificativă; </w:t>
      </w:r>
    </w:p>
    <w:p w14:paraId="7A861440" w14:textId="77777777" w:rsidR="00160FE6" w:rsidRPr="00AC52A4" w:rsidRDefault="00160FE6" w:rsidP="00160FE6">
      <w:pPr>
        <w:pStyle w:val="ListParagraph"/>
        <w:numPr>
          <w:ilvl w:val="0"/>
          <w:numId w:val="22"/>
        </w:numPr>
        <w:shd w:val="clear" w:color="auto" w:fill="FFFFFF"/>
        <w:spacing w:after="0"/>
        <w:rPr>
          <w:rFonts w:eastAsia="Times New Roman" w:cstheme="minorHAnsi"/>
          <w:sz w:val="26"/>
          <w:szCs w:val="26"/>
          <w:lang w:val="pt-BR" w:eastAsia="en-GB"/>
        </w:rPr>
      </w:pPr>
      <w:r w:rsidRPr="00AC52A4">
        <w:rPr>
          <w:rFonts w:eastAsia="Times New Roman" w:cstheme="minorHAnsi"/>
          <w:sz w:val="26"/>
          <w:szCs w:val="26"/>
          <w:lang w:val="pt-BR" w:eastAsia="en-GB"/>
        </w:rPr>
        <w:t>prelucrării pe scara larga a unor categorii speciale de date sau a unor date cu caracter personal privind condamnari penale si infractiuni;</w:t>
      </w:r>
    </w:p>
    <w:p w14:paraId="04C3D78F" w14:textId="77777777" w:rsidR="00160FE6" w:rsidRPr="00AC52A4" w:rsidRDefault="00160FE6" w:rsidP="00160FE6">
      <w:pPr>
        <w:pStyle w:val="ListParagraph"/>
        <w:numPr>
          <w:ilvl w:val="0"/>
          <w:numId w:val="22"/>
        </w:numPr>
        <w:shd w:val="clear" w:color="auto" w:fill="FFFFFF"/>
        <w:spacing w:after="0"/>
        <w:rPr>
          <w:rFonts w:eastAsia="Times New Roman" w:cstheme="minorHAnsi"/>
          <w:sz w:val="26"/>
          <w:szCs w:val="26"/>
          <w:lang w:val="pt-BR" w:eastAsia="en-GB"/>
        </w:rPr>
      </w:pPr>
      <w:r w:rsidRPr="00AC52A4">
        <w:rPr>
          <w:rFonts w:eastAsia="Times New Roman" w:cstheme="minorHAnsi"/>
          <w:sz w:val="26"/>
          <w:szCs w:val="26"/>
          <w:lang w:val="pt-BR" w:eastAsia="en-GB"/>
        </w:rPr>
        <w:t>unei monitorizari sistematice pe scara larga a unei zone accesibile publicului. Când evaluarea de impact indică riscuri ridicate, în absența unor măsuri luate de operator pentru atenuarea acestora, se consultă Autoritatea națională de supraveghere.</w:t>
      </w:r>
    </w:p>
    <w:p w14:paraId="6831499C" w14:textId="77777777" w:rsidR="00160FE6" w:rsidRPr="00AC52A4" w:rsidRDefault="00160FE6" w:rsidP="00160FE6">
      <w:pPr>
        <w:spacing w:after="0"/>
        <w:ind w:firstLine="708"/>
        <w:textAlignment w:val="baseline"/>
        <w:rPr>
          <w:sz w:val="26"/>
          <w:szCs w:val="26"/>
          <w:lang w:val="pt-BR"/>
        </w:rPr>
      </w:pPr>
    </w:p>
    <w:p w14:paraId="45E1DC82" w14:textId="77777777" w:rsidR="00160FE6" w:rsidRPr="00AC52A4" w:rsidRDefault="00160FE6" w:rsidP="00160FE6">
      <w:pPr>
        <w:spacing w:after="0"/>
        <w:ind w:firstLine="708"/>
        <w:textAlignment w:val="baseline"/>
        <w:rPr>
          <w:rFonts w:ascii="Segoe UI" w:eastAsia="Times New Roman" w:hAnsi="Segoe UI" w:cs="Segoe UI"/>
          <w:noProof w:val="0"/>
          <w:sz w:val="26"/>
          <w:szCs w:val="26"/>
          <w:lang w:eastAsia="en-GB"/>
        </w:rPr>
      </w:pPr>
    </w:p>
    <w:p w14:paraId="04D54437" w14:textId="54365D4F" w:rsidR="00160FE6" w:rsidRPr="00AC52A4" w:rsidRDefault="00160FE6" w:rsidP="00160FE6">
      <w:pPr>
        <w:ind w:firstLine="708"/>
        <w:rPr>
          <w:sz w:val="26"/>
          <w:szCs w:val="26"/>
        </w:rPr>
      </w:pPr>
      <w:r w:rsidRPr="00AC52A4">
        <w:rPr>
          <w:sz w:val="26"/>
          <w:szCs w:val="26"/>
        </w:rPr>
        <w:t xml:space="preserve">În calitate de </w:t>
      </w:r>
      <w:r w:rsidR="00F20EF4">
        <w:rPr>
          <w:sz w:val="26"/>
          <w:szCs w:val="26"/>
        </w:rPr>
        <w:t>responsabil</w:t>
      </w:r>
      <w:r w:rsidRPr="00AC52A4">
        <w:rPr>
          <w:sz w:val="26"/>
          <w:szCs w:val="26"/>
        </w:rPr>
        <w:t xml:space="preserve"> în domeniul protecției datelor cu caracter special, am înțeles importanța evaluării riscurilor asociate prelucrării datelor cu caracter personal din grupul țintă.</w:t>
      </w:r>
    </w:p>
    <w:p w14:paraId="04A6B56B" w14:textId="77777777" w:rsidR="00160FE6" w:rsidRPr="00AC52A4" w:rsidRDefault="00160FE6" w:rsidP="00160FE6">
      <w:pPr>
        <w:ind w:firstLine="708"/>
        <w:rPr>
          <w:sz w:val="26"/>
          <w:szCs w:val="26"/>
        </w:rPr>
      </w:pPr>
      <w:r w:rsidRPr="00AC52A4">
        <w:rPr>
          <w:sz w:val="26"/>
          <w:szCs w:val="26"/>
        </w:rPr>
        <w:t xml:space="preserve">Evaluarea riscurilor reprezintă un pilon esențial în implementarea unui cadru robust de protecție a datelor. În cadrul acestui proces, identificarea și analiza atentă a potențialelor amenințări și vulnerabilități devin cruciale. </w:t>
      </w:r>
    </w:p>
    <w:p w14:paraId="0A8A8FA2" w14:textId="77777777" w:rsidR="00160FE6" w:rsidRPr="00AC52A4" w:rsidRDefault="00160FE6" w:rsidP="00160FE6">
      <w:pPr>
        <w:ind w:firstLine="708"/>
        <w:rPr>
          <w:sz w:val="26"/>
          <w:szCs w:val="26"/>
        </w:rPr>
      </w:pPr>
      <w:r w:rsidRPr="00AC52A4">
        <w:rPr>
          <w:sz w:val="26"/>
          <w:szCs w:val="26"/>
        </w:rPr>
        <w:t>Grupul țintă, ca entitate distinctă, aduce cu sine particularități și sensibilități specifice, impunând o abordare personalizată a evaluării riscurilor.</w:t>
      </w:r>
    </w:p>
    <w:p w14:paraId="00B4F174" w14:textId="77777777" w:rsidR="00160FE6" w:rsidRPr="00AC52A4" w:rsidRDefault="00160FE6" w:rsidP="00160FE6">
      <w:pPr>
        <w:ind w:firstLine="708"/>
        <w:rPr>
          <w:sz w:val="26"/>
          <w:szCs w:val="26"/>
        </w:rPr>
      </w:pPr>
      <w:r w:rsidRPr="00AC52A4">
        <w:rPr>
          <w:sz w:val="26"/>
          <w:szCs w:val="26"/>
        </w:rPr>
        <w:t xml:space="preserve">Un aspect esențial constă în identificarea datelor cu caracter personal prelucrate în cadrul grupului țintă, precum și în evaluarea modului în care aceste informații sensibile sunt colectate, stocate, prelucrate și partajate. </w:t>
      </w:r>
    </w:p>
    <w:p w14:paraId="389F9A13" w14:textId="77777777" w:rsidR="00160FE6" w:rsidRPr="00AC52A4" w:rsidRDefault="00160FE6" w:rsidP="00160FE6">
      <w:pPr>
        <w:ind w:firstLine="708"/>
        <w:rPr>
          <w:sz w:val="26"/>
          <w:szCs w:val="26"/>
        </w:rPr>
      </w:pPr>
      <w:r w:rsidRPr="00AC52A4">
        <w:rPr>
          <w:sz w:val="26"/>
          <w:szCs w:val="26"/>
        </w:rPr>
        <w:t>Riscurile pot rezulta din diverse surse, inclusiv procesele interne, tehnologiile utilizate și factorii umani implicați în manipularea datelor.</w:t>
      </w:r>
    </w:p>
    <w:p w14:paraId="5DE6A7D0" w14:textId="77777777" w:rsidR="00160FE6" w:rsidRPr="00AC52A4" w:rsidRDefault="00160FE6" w:rsidP="00160FE6">
      <w:pPr>
        <w:ind w:firstLine="708"/>
        <w:rPr>
          <w:sz w:val="26"/>
          <w:szCs w:val="26"/>
        </w:rPr>
      </w:pPr>
      <w:r w:rsidRPr="00AC52A4">
        <w:rPr>
          <w:sz w:val="26"/>
          <w:szCs w:val="26"/>
        </w:rPr>
        <w:t>Evaluarea trebuie să țină cont de conformitatea cu legislația privind protecția datelor, asigurând că toate prevederile legale sunt respectate în mod riguros. În plus, se impune luarea în considerare a potențialelor impacturi asupra individului, precum și a consecințelor reputaționale și financiare pentru organizație în cazul producerii unui incident de securitate.</w:t>
      </w:r>
    </w:p>
    <w:p w14:paraId="74C0C4DB" w14:textId="77777777" w:rsidR="00160FE6" w:rsidRPr="00AC52A4" w:rsidRDefault="00160FE6" w:rsidP="00160FE6">
      <w:pPr>
        <w:rPr>
          <w:sz w:val="26"/>
          <w:szCs w:val="26"/>
        </w:rPr>
      </w:pPr>
    </w:p>
    <w:p w14:paraId="7C4B04F8" w14:textId="665247C0" w:rsidR="00160FE6" w:rsidRPr="00AC52A4" w:rsidRDefault="00160FE6" w:rsidP="00160FE6">
      <w:pPr>
        <w:rPr>
          <w:sz w:val="26"/>
          <w:szCs w:val="26"/>
        </w:rPr>
      </w:pPr>
      <w:r w:rsidRPr="00AC52A4">
        <w:rPr>
          <w:sz w:val="26"/>
          <w:szCs w:val="26"/>
        </w:rPr>
        <w:t>Clarificarea scopului prelucrării datelor în cadrul proiectului: o direcție bine definită</w:t>
      </w:r>
      <w:r w:rsidR="00A34809">
        <w:rPr>
          <w:sz w:val="26"/>
          <w:szCs w:val="26"/>
        </w:rPr>
        <w:t>.</w:t>
      </w:r>
    </w:p>
    <w:p w14:paraId="650A8CD6" w14:textId="77777777" w:rsidR="00160FE6" w:rsidRPr="00AC52A4" w:rsidRDefault="00160FE6" w:rsidP="00160FE6">
      <w:pPr>
        <w:ind w:firstLine="708"/>
        <w:rPr>
          <w:sz w:val="26"/>
          <w:szCs w:val="26"/>
        </w:rPr>
      </w:pPr>
      <w:r w:rsidRPr="00AC52A4">
        <w:rPr>
          <w:sz w:val="26"/>
          <w:szCs w:val="26"/>
        </w:rPr>
        <w:lastRenderedPageBreak/>
        <w:t>În contextul activităților proiectului în care persoana din grupul țintă este implicată, este imperativ să avem un scop clar definit pentru prelucrarea datelor cu caracter personal. Aceasta nu este doar o cerință legală, ci și un pilon esențial al respectului față de confidențialitatea individului și al asigurării unei colaborări etice și transparente.</w:t>
      </w:r>
    </w:p>
    <w:p w14:paraId="60C9D990" w14:textId="77777777" w:rsidR="00160FE6" w:rsidRPr="00AC52A4" w:rsidRDefault="00160FE6" w:rsidP="00160FE6">
      <w:pPr>
        <w:ind w:firstLine="708"/>
        <w:rPr>
          <w:sz w:val="26"/>
          <w:szCs w:val="26"/>
        </w:rPr>
      </w:pPr>
      <w:r w:rsidRPr="00AC52A4">
        <w:rPr>
          <w:sz w:val="26"/>
          <w:szCs w:val="26"/>
        </w:rPr>
        <w:t>Scopul prelucrării datelor trebuie să fie aliniat cu obiectivele specifice ale proiectului, iar această aliniere trebuie să fie evidentă și comprehensibilă pentru persoanele din grupul țintă. Fiecare activitate de prelucrare trebuie să servească unui scop bine definit și să fie justificată în contextul proiectului respectiv.</w:t>
      </w:r>
    </w:p>
    <w:p w14:paraId="3AAC51C3" w14:textId="77777777" w:rsidR="00160FE6" w:rsidRPr="00AC52A4" w:rsidRDefault="00160FE6" w:rsidP="00160FE6">
      <w:pPr>
        <w:ind w:firstLine="708"/>
        <w:rPr>
          <w:sz w:val="26"/>
          <w:szCs w:val="26"/>
        </w:rPr>
      </w:pPr>
      <w:r w:rsidRPr="00AC52A4">
        <w:rPr>
          <w:sz w:val="26"/>
          <w:szCs w:val="26"/>
        </w:rPr>
        <w:t>Claritatea în stabilirea scopului prelucrării datelor este esențială pentru a evita ambiguitățile și pentru a construi încrederea în rândul participanților din grupul țintă. Aceasta presupune comunicare deschisă și transparentă, în care fiecare persoană implicată să înțeleagă modul în care datele lor vor fi utilizate în cadrul proiectului și cum contribuie la realizarea obiectivelor stabilite.</w:t>
      </w:r>
    </w:p>
    <w:p w14:paraId="7FC9879E" w14:textId="77777777" w:rsidR="00160FE6" w:rsidRPr="00AC52A4" w:rsidRDefault="00160FE6" w:rsidP="00160FE6">
      <w:pPr>
        <w:ind w:firstLine="708"/>
        <w:rPr>
          <w:sz w:val="26"/>
          <w:szCs w:val="26"/>
        </w:rPr>
      </w:pPr>
      <w:r w:rsidRPr="00AC52A4">
        <w:rPr>
          <w:sz w:val="26"/>
          <w:szCs w:val="26"/>
        </w:rPr>
        <w:t>În același timp, este crucial să se respecte principiile de minimizare a datelor, adică să se colecteze și să se proceseze doar informațiile strict necesare pentru atingerea scopurilor stabilite. Astfel, se asigură că prelucrarea datelor este eficientă și proporțională în raport cu activitățile proiectului.</w:t>
      </w:r>
    </w:p>
    <w:p w14:paraId="7164BA2C" w14:textId="77777777" w:rsidR="00160FE6" w:rsidRPr="00AC52A4" w:rsidRDefault="00160FE6" w:rsidP="00160FE6">
      <w:pPr>
        <w:rPr>
          <w:sz w:val="26"/>
          <w:szCs w:val="26"/>
        </w:rPr>
      </w:pPr>
    </w:p>
    <w:p w14:paraId="259F557B" w14:textId="3105EB7B" w:rsidR="001463F5" w:rsidRDefault="00160FE6" w:rsidP="001463F5">
      <w:pPr>
        <w:jc w:val="center"/>
        <w:rPr>
          <w:sz w:val="26"/>
          <w:szCs w:val="26"/>
        </w:rPr>
      </w:pPr>
      <w:r w:rsidRPr="00AC52A4">
        <w:rPr>
          <w:sz w:val="26"/>
          <w:szCs w:val="26"/>
        </w:rPr>
        <w:t>Măsuri de securitate pentru asigurarea prelucrăr</w:t>
      </w:r>
      <w:r w:rsidR="001463F5">
        <w:rPr>
          <w:sz w:val="26"/>
          <w:szCs w:val="26"/>
        </w:rPr>
        <w:t>i</w:t>
      </w:r>
      <w:r w:rsidRPr="00AC52A4">
        <w:rPr>
          <w:sz w:val="26"/>
          <w:szCs w:val="26"/>
        </w:rPr>
        <w:t>i</w:t>
      </w:r>
    </w:p>
    <w:p w14:paraId="02DFDF92" w14:textId="6C9F2972" w:rsidR="00160FE6" w:rsidRDefault="00160FE6" w:rsidP="001463F5">
      <w:pPr>
        <w:jc w:val="center"/>
        <w:rPr>
          <w:sz w:val="26"/>
          <w:szCs w:val="26"/>
        </w:rPr>
      </w:pPr>
      <w:r w:rsidRPr="00AC52A4">
        <w:rPr>
          <w:sz w:val="26"/>
          <w:szCs w:val="26"/>
        </w:rPr>
        <w:t xml:space="preserve"> datelor cu caracter personal</w:t>
      </w:r>
      <w:r w:rsidR="001463F5">
        <w:rPr>
          <w:sz w:val="26"/>
          <w:szCs w:val="26"/>
        </w:rPr>
        <w:t>:</w:t>
      </w:r>
    </w:p>
    <w:p w14:paraId="3068CE64" w14:textId="77777777" w:rsidR="001463F5" w:rsidRPr="00AC52A4" w:rsidRDefault="001463F5" w:rsidP="00160FE6">
      <w:pPr>
        <w:rPr>
          <w:sz w:val="26"/>
          <w:szCs w:val="26"/>
        </w:rPr>
      </w:pPr>
    </w:p>
    <w:p w14:paraId="61909ABC" w14:textId="77777777" w:rsidR="00160FE6" w:rsidRPr="00AC52A4" w:rsidRDefault="00160FE6" w:rsidP="00160FE6">
      <w:pPr>
        <w:ind w:firstLine="360"/>
        <w:rPr>
          <w:sz w:val="26"/>
          <w:szCs w:val="26"/>
        </w:rPr>
      </w:pPr>
      <w:r w:rsidRPr="00AC52A4">
        <w:rPr>
          <w:sz w:val="26"/>
          <w:szCs w:val="26"/>
        </w:rPr>
        <w:t>Asigurarea securității prelucrării datelor cu caracter personal reprezintă un aspect crucial în protecția informațiilor sensibile. Astfel au fost luate câteva măsuri esențiale pentru garantarea unui mediu sigur:</w:t>
      </w:r>
    </w:p>
    <w:p w14:paraId="038D0F12" w14:textId="77777777" w:rsidR="00160FE6" w:rsidRPr="00AC52A4" w:rsidRDefault="00160FE6" w:rsidP="00160FE6">
      <w:pPr>
        <w:pStyle w:val="ListParagraph"/>
        <w:numPr>
          <w:ilvl w:val="0"/>
          <w:numId w:val="20"/>
        </w:numPr>
        <w:spacing w:after="160" w:line="259" w:lineRule="auto"/>
        <w:rPr>
          <w:sz w:val="26"/>
          <w:szCs w:val="26"/>
        </w:rPr>
      </w:pPr>
      <w:r w:rsidRPr="00AC52A4">
        <w:rPr>
          <w:sz w:val="26"/>
          <w:szCs w:val="26"/>
        </w:rPr>
        <w:t>Formarea și conștientizarea grupului țintă: educația continuă a grupului țintă, cu privire la practici sigure în manipularea datelor și la riscurile de securitate cibernetică este crucială. Un grup țintă bine informat reprezintă o linie de apărare eficientă.</w:t>
      </w:r>
    </w:p>
    <w:p w14:paraId="5587D7D1" w14:textId="77777777" w:rsidR="00160FE6" w:rsidRPr="00AC52A4" w:rsidRDefault="00160FE6" w:rsidP="00160FE6">
      <w:pPr>
        <w:pStyle w:val="ListParagraph"/>
        <w:numPr>
          <w:ilvl w:val="0"/>
          <w:numId w:val="21"/>
        </w:numPr>
        <w:spacing w:after="160" w:line="259" w:lineRule="auto"/>
        <w:rPr>
          <w:sz w:val="26"/>
          <w:szCs w:val="26"/>
        </w:rPr>
      </w:pPr>
      <w:r w:rsidRPr="00AC52A4">
        <w:rPr>
          <w:sz w:val="26"/>
          <w:szCs w:val="26"/>
        </w:rPr>
        <w:t>Actualizări și patch-uri de securitate: menținerea sistemelor și software-urilor la zi prin aplicarea regulată a actualizărilor și patch-urilor de securitate este esențială pentru a remedia vulnerabilități cunoscute.</w:t>
      </w:r>
    </w:p>
    <w:p w14:paraId="576F4231" w14:textId="77777777" w:rsidR="00160FE6" w:rsidRPr="00AC52A4" w:rsidRDefault="00160FE6" w:rsidP="00160FE6">
      <w:pPr>
        <w:pStyle w:val="ListParagraph"/>
        <w:numPr>
          <w:ilvl w:val="0"/>
          <w:numId w:val="21"/>
        </w:numPr>
        <w:spacing w:after="160" w:line="259" w:lineRule="auto"/>
        <w:rPr>
          <w:sz w:val="26"/>
          <w:szCs w:val="26"/>
        </w:rPr>
      </w:pPr>
      <w:r w:rsidRPr="00AC52A4">
        <w:rPr>
          <w:sz w:val="26"/>
          <w:szCs w:val="26"/>
        </w:rPr>
        <w:t xml:space="preserve">Conformitate cu reglementările:* asigurarea conformității cu reglementările privind protecția datelor, cum ar fi GDPR sau alte norme regionale, este </w:t>
      </w:r>
      <w:r w:rsidRPr="00AC52A4">
        <w:rPr>
          <w:sz w:val="26"/>
          <w:szCs w:val="26"/>
        </w:rPr>
        <w:lastRenderedPageBreak/>
        <w:t>fundamentală. Monitorizarea schimbărilor în legislație și ajustarea practicilor în consecință este esențială.</w:t>
      </w:r>
    </w:p>
    <w:p w14:paraId="624B46C3" w14:textId="7F450D8B" w:rsidR="00160FE6" w:rsidRPr="00AC52A4" w:rsidRDefault="001463F5" w:rsidP="001463F5">
      <w:pPr>
        <w:ind w:firstLine="360"/>
        <w:jc w:val="left"/>
        <w:rPr>
          <w:sz w:val="26"/>
          <w:szCs w:val="26"/>
        </w:rPr>
      </w:pPr>
      <w:r>
        <w:rPr>
          <w:sz w:val="26"/>
          <w:szCs w:val="26"/>
        </w:rPr>
        <w:t xml:space="preserve">     </w:t>
      </w:r>
      <w:r w:rsidR="00160FE6" w:rsidRPr="00AC52A4">
        <w:rPr>
          <w:sz w:val="26"/>
          <w:szCs w:val="26"/>
        </w:rPr>
        <w:t>Adoptarea acestor măsuri contribuie la crearea unui mediu sigur și încrezător pentru prelucrarea datelor cu caracter personal, protejând astfel informațiile sensibile și respectând drepturile individuale.</w:t>
      </w:r>
    </w:p>
    <w:p w14:paraId="7CE6956E" w14:textId="77777777" w:rsidR="00160FE6" w:rsidRPr="00AC52A4" w:rsidRDefault="00160FE6" w:rsidP="001463F5">
      <w:pPr>
        <w:ind w:firstLine="708"/>
        <w:jc w:val="left"/>
        <w:rPr>
          <w:sz w:val="26"/>
          <w:szCs w:val="26"/>
        </w:rPr>
      </w:pPr>
      <w:r w:rsidRPr="00AC52A4">
        <w:rPr>
          <w:sz w:val="26"/>
          <w:szCs w:val="26"/>
        </w:rPr>
        <w:t>În concluzie, scopul prelucrării datelor trebuie să fie nu doar legal și etic, ci și orientat către atingerea cu succes a obiectivelor proiectului, contribuind astfel la construirea unei fundații solide pentru colaborarea în cadrul grupului țintă.</w:t>
      </w:r>
    </w:p>
    <w:p w14:paraId="34FFA10F" w14:textId="77777777" w:rsidR="00160FE6" w:rsidRPr="007519DE" w:rsidRDefault="00160FE6" w:rsidP="001463F5">
      <w:pPr>
        <w:ind w:firstLine="708"/>
        <w:jc w:val="left"/>
        <w:rPr>
          <w:sz w:val="26"/>
          <w:szCs w:val="26"/>
        </w:rPr>
      </w:pPr>
      <w:r w:rsidRPr="00AC52A4">
        <w:rPr>
          <w:sz w:val="26"/>
          <w:szCs w:val="26"/>
        </w:rPr>
        <w:t>Prin abordarea metodică a evaluării riscurilor, organizarea poate dezvolta strategii eficiente de gestionare a acestora, contribuind la întărirea securității datelor cu caracter personal în cadrul grupului țintă.</w:t>
      </w:r>
    </w:p>
    <w:p w14:paraId="524E6AB0" w14:textId="0E5EBEAD" w:rsidR="00E16DF7" w:rsidRDefault="00E16DF7" w:rsidP="00E16DF7">
      <w:pPr>
        <w:rPr>
          <w:rFonts w:cstheme="minorHAnsi"/>
          <w:szCs w:val="24"/>
        </w:rPr>
      </w:pPr>
      <w:r w:rsidRPr="00E16DF7">
        <w:rPr>
          <w:rFonts w:cstheme="minorHAnsi"/>
          <w:szCs w:val="24"/>
        </w:rPr>
        <w:t xml:space="preserve"> </w:t>
      </w:r>
    </w:p>
    <w:p w14:paraId="0745F4EC" w14:textId="3C283498" w:rsidR="00605C20" w:rsidRPr="00FE7902" w:rsidRDefault="00F20EF4" w:rsidP="00FE7902">
      <w:pPr>
        <w:jc w:val="right"/>
        <w:rPr>
          <w:rFonts w:cstheme="minorHAnsi"/>
          <w:sz w:val="26"/>
          <w:szCs w:val="26"/>
        </w:rPr>
      </w:pPr>
      <w:r w:rsidRPr="00FE7902">
        <w:rPr>
          <w:rFonts w:cstheme="minorHAnsi"/>
          <w:sz w:val="26"/>
          <w:szCs w:val="26"/>
        </w:rPr>
        <w:t xml:space="preserve">Responsabil </w:t>
      </w:r>
      <w:r w:rsidR="00FE7902" w:rsidRPr="00FE7902">
        <w:rPr>
          <w:rFonts w:cstheme="minorHAnsi"/>
          <w:sz w:val="26"/>
          <w:szCs w:val="26"/>
        </w:rPr>
        <w:t>GDPR și protecția datelor cu caracter special:</w:t>
      </w:r>
    </w:p>
    <w:p w14:paraId="77D856BD" w14:textId="3EC08833" w:rsidR="00FE7902" w:rsidRPr="00FE7902" w:rsidRDefault="00FE7902" w:rsidP="00FE7902">
      <w:pPr>
        <w:jc w:val="right"/>
        <w:rPr>
          <w:rFonts w:cstheme="minorHAnsi"/>
          <w:sz w:val="26"/>
          <w:szCs w:val="26"/>
        </w:rPr>
      </w:pPr>
      <w:r w:rsidRPr="00FE7902">
        <w:rPr>
          <w:rFonts w:cstheme="minorHAnsi"/>
          <w:sz w:val="26"/>
          <w:szCs w:val="26"/>
        </w:rPr>
        <w:t>Dodan Simona Mihaela</w:t>
      </w:r>
    </w:p>
    <w:sectPr w:rsidR="00FE7902" w:rsidRPr="00FE7902" w:rsidSect="00263FFD">
      <w:headerReference w:type="default" r:id="rId7"/>
      <w:footerReference w:type="default" r:id="rId8"/>
      <w:pgSz w:w="11907" w:h="16839" w:code="9"/>
      <w:pgMar w:top="1440" w:right="1440" w:bottom="1440" w:left="1440" w:header="284"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8BF2" w14:textId="77777777" w:rsidR="00263FFD" w:rsidRDefault="00263FFD" w:rsidP="00787B10">
      <w:pPr>
        <w:spacing w:after="0"/>
      </w:pPr>
      <w:r>
        <w:separator/>
      </w:r>
    </w:p>
  </w:endnote>
  <w:endnote w:type="continuationSeparator" w:id="0">
    <w:p w14:paraId="1C07F5B0" w14:textId="77777777" w:rsidR="00263FFD" w:rsidRDefault="00263FFD" w:rsidP="00787B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429190105"/>
      <w:docPartObj>
        <w:docPartGallery w:val="Page Numbers (Bottom of Page)"/>
        <w:docPartUnique/>
      </w:docPartObj>
    </w:sdtPr>
    <w:sdtContent>
      <w:p w14:paraId="0AF7E0B3" w14:textId="77777777" w:rsidR="00F56C56" w:rsidRDefault="00F56C56" w:rsidP="00B40C08">
        <w:pPr>
          <w:jc w:val="center"/>
          <w:rPr>
            <w:sz w:val="18"/>
          </w:rPr>
        </w:pPr>
        <w:r w:rsidRPr="00F56C56">
          <w:rPr>
            <w:sz w:val="18"/>
            <w:lang w:eastAsia="ro-RO"/>
          </w:rPr>
          <mc:AlternateContent>
            <mc:Choice Requires="wpg">
              <w:drawing>
                <wp:anchor distT="0" distB="0" distL="114300" distR="114300" simplePos="0" relativeHeight="251659264" behindDoc="0" locked="0" layoutInCell="1" allowOverlap="1" wp14:anchorId="7F1605F1" wp14:editId="0AEEFBB8">
                  <wp:simplePos x="0" y="0"/>
                  <wp:positionH relativeFrom="page">
                    <wp:posOffset>9525</wp:posOffset>
                  </wp:positionH>
                  <wp:positionV relativeFrom="bottomMargin">
                    <wp:posOffset>71120</wp:posOffset>
                  </wp:positionV>
                  <wp:extent cx="7781925" cy="190500"/>
                  <wp:effectExtent l="0" t="0" r="2095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1925"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DF07F" w14:textId="77777777" w:rsidR="00F56C56" w:rsidRPr="005E215F" w:rsidRDefault="00F56C56">
                                <w:pPr>
                                  <w:jc w:val="center"/>
                                  <w:rPr>
                                    <w:sz w:val="20"/>
                                  </w:rPr>
                                </w:pPr>
                                <w:r w:rsidRPr="005E215F">
                                  <w:rPr>
                                    <w:noProof w:val="0"/>
                                    <w:sz w:val="20"/>
                                  </w:rPr>
                                  <w:fldChar w:fldCharType="begin"/>
                                </w:r>
                                <w:r w:rsidRPr="005E215F">
                                  <w:rPr>
                                    <w:sz w:val="20"/>
                                  </w:rPr>
                                  <w:instrText xml:space="preserve"> PAGE    \* MERGEFORMAT </w:instrText>
                                </w:r>
                                <w:r w:rsidRPr="005E215F">
                                  <w:rPr>
                                    <w:noProof w:val="0"/>
                                    <w:sz w:val="20"/>
                                  </w:rPr>
                                  <w:fldChar w:fldCharType="separate"/>
                                </w:r>
                                <w:r w:rsidR="00CE64F9" w:rsidRPr="00CE64F9">
                                  <w:rPr>
                                    <w:color w:val="8C8C8C" w:themeColor="background1" w:themeShade="8C"/>
                                    <w:sz w:val="20"/>
                                  </w:rPr>
                                  <w:t>1</w:t>
                                </w:r>
                                <w:r w:rsidRPr="005E215F">
                                  <w:rPr>
                                    <w:color w:val="8C8C8C" w:themeColor="background1" w:themeShade="8C"/>
                                    <w:sz w:val="20"/>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F1605F1" id="Group 33" o:spid="_x0000_s1027" style="position:absolute;left:0;text-align:left;margin-left:.75pt;margin-top:5.6pt;width:612.75pt;height:15pt;z-index:251659264;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14:paraId="292DF07F" w14:textId="77777777" w:rsidR="00F56C56" w:rsidRPr="005E215F" w:rsidRDefault="00F56C56">
                          <w:pPr>
                            <w:jc w:val="center"/>
                            <w:rPr>
                              <w:sz w:val="20"/>
                            </w:rPr>
                          </w:pPr>
                          <w:r w:rsidRPr="005E215F">
                            <w:rPr>
                              <w:noProof w:val="0"/>
                              <w:sz w:val="20"/>
                            </w:rPr>
                            <w:fldChar w:fldCharType="begin"/>
                          </w:r>
                          <w:r w:rsidRPr="005E215F">
                            <w:rPr>
                              <w:sz w:val="20"/>
                            </w:rPr>
                            <w:instrText xml:space="preserve"> PAGE    \* MERGEFORMAT </w:instrText>
                          </w:r>
                          <w:r w:rsidRPr="005E215F">
                            <w:rPr>
                              <w:noProof w:val="0"/>
                              <w:sz w:val="20"/>
                            </w:rPr>
                            <w:fldChar w:fldCharType="separate"/>
                          </w:r>
                          <w:r w:rsidR="00CE64F9" w:rsidRPr="00CE64F9">
                            <w:rPr>
                              <w:color w:val="8C8C8C" w:themeColor="background1" w:themeShade="8C"/>
                              <w:sz w:val="20"/>
                            </w:rPr>
                            <w:t>1</w:t>
                          </w:r>
                          <w:r w:rsidRPr="005E215F">
                            <w:rPr>
                              <w:color w:val="8C8C8C" w:themeColor="background1" w:themeShade="8C"/>
                              <w:sz w:val="20"/>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p>
      <w:p w14:paraId="6273DC03" w14:textId="128E77E8" w:rsidR="00B40C08" w:rsidRPr="00F56C56" w:rsidRDefault="00CE64F9" w:rsidP="00F56C56">
        <w:pPr>
          <w:jc w:val="center"/>
          <w:rPr>
            <w:sz w:val="18"/>
          </w:rPr>
        </w:pPr>
        <w:r>
          <w:rPr>
            <w:sz w:val="18"/>
          </w:rPr>
          <w:t>PARTICIPAREA LA SERVICIILE FURNIZATE ÎN CADRUL ACESTUI PROIECT ESTE GRATUITĂ!</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C24F" w14:textId="77777777" w:rsidR="00263FFD" w:rsidRDefault="00263FFD" w:rsidP="00787B10">
      <w:pPr>
        <w:spacing w:after="0"/>
      </w:pPr>
      <w:r>
        <w:separator/>
      </w:r>
    </w:p>
  </w:footnote>
  <w:footnote w:type="continuationSeparator" w:id="0">
    <w:p w14:paraId="65E8F79A" w14:textId="77777777" w:rsidR="00263FFD" w:rsidRDefault="00263FFD" w:rsidP="00787B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1FD7" w14:textId="77777777" w:rsidR="006A30C7" w:rsidRDefault="006A30C7" w:rsidP="006A30C7">
    <w:pPr>
      <w:pStyle w:val="Header"/>
      <w:ind w:right="-1440" w:hanging="1418"/>
    </w:pPr>
    <w:r>
      <w:rPr>
        <w:rFonts w:ascii="Trebuchet MS" w:eastAsia="Trebuchet MS" w:hAnsi="Trebuchet MS"/>
        <w:color w:val="231F20"/>
        <w:szCs w:val="24"/>
        <w:lang w:eastAsia="ro-RO"/>
      </w:rPr>
      <w:drawing>
        <wp:inline distT="0" distB="0" distL="0" distR="0" wp14:anchorId="1FBA989C" wp14:editId="547D6300">
          <wp:extent cx="7549116" cy="1222745"/>
          <wp:effectExtent l="0" t="0" r="0" b="0"/>
          <wp:docPr id="6" name="Imagine 6" descr="C:\Users\acdum\AppData\Local\Microsoft\Windows\INetCache\Content.Word\Comunicat de Presa fundal sigla gov mij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dum\AppData\Local\Microsoft\Windows\INetCache\Content.Word\Comunicat de Presa fundal sigla gov mijloc.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8545"/>
                  <a:stretch/>
                </pic:blipFill>
                <pic:spPr bwMode="auto">
                  <a:xfrm>
                    <a:off x="0" y="0"/>
                    <a:ext cx="7559643" cy="1224450"/>
                  </a:xfrm>
                  <a:prstGeom prst="rect">
                    <a:avLst/>
                  </a:prstGeom>
                  <a:noFill/>
                  <a:ln>
                    <a:noFill/>
                  </a:ln>
                  <a:extLst>
                    <a:ext uri="{53640926-AAD7-44D8-BBD7-CCE9431645EC}">
                      <a14:shadowObscured xmlns:a14="http://schemas.microsoft.com/office/drawing/2010/main"/>
                    </a:ext>
                  </a:extLst>
                </pic:spPr>
              </pic:pic>
            </a:graphicData>
          </a:graphic>
        </wp:inline>
      </w:drawing>
    </w:r>
  </w:p>
  <w:p w14:paraId="2EC2C423" w14:textId="750FAD38" w:rsidR="00E6521E" w:rsidRPr="006A30C7" w:rsidRDefault="006A30C7" w:rsidP="006A30C7">
    <w:pPr>
      <w:pStyle w:val="Header"/>
      <w:ind w:hanging="993"/>
    </w:pPr>
    <w:r>
      <w:rPr>
        <w:lang w:eastAsia="ro-RO"/>
      </w:rPr>
      <mc:AlternateContent>
        <mc:Choice Requires="wps">
          <w:drawing>
            <wp:inline distT="0" distB="0" distL="0" distR="0" wp14:anchorId="694BD808" wp14:editId="1DAB8D5D">
              <wp:extent cx="6935008" cy="653143"/>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008" cy="653143"/>
                      </a:xfrm>
                      <a:prstGeom prst="rect">
                        <a:avLst/>
                      </a:prstGeom>
                      <a:solidFill>
                        <a:srgbClr val="FFFFFF"/>
                      </a:solidFill>
                      <a:ln w="9525">
                        <a:noFill/>
                        <a:miter lim="800000"/>
                        <a:headEnd/>
                        <a:tailEnd/>
                      </a:ln>
                    </wps:spPr>
                    <wps:txbx>
                      <w:txbxContent>
                        <w:p w14:paraId="7AFCF8B7" w14:textId="44F3C675" w:rsidR="00E07C5A" w:rsidRDefault="00E07C5A" w:rsidP="00E07C5A">
                          <w:pPr>
                            <w:spacing w:after="0"/>
                            <w:jc w:val="center"/>
                            <w:rPr>
                              <w:rFonts w:eastAsia="Times New Roman" w:cstheme="minorHAnsi"/>
                              <w:sz w:val="20"/>
                              <w:szCs w:val="20"/>
                            </w:rPr>
                          </w:pPr>
                          <w:r>
                            <w:rPr>
                              <w:rFonts w:eastAsia="Times New Roman" w:cstheme="minorHAnsi"/>
                              <w:sz w:val="20"/>
                              <w:szCs w:val="20"/>
                            </w:rPr>
                            <w:t>IMM DIGITALL - DEZVOLTAREA INTEGRAT</w:t>
                          </w:r>
                          <w:r w:rsidR="002A1E33">
                            <w:rPr>
                              <w:rFonts w:eastAsia="Times New Roman" w:cstheme="minorHAnsi"/>
                              <w:sz w:val="20"/>
                              <w:szCs w:val="20"/>
                            </w:rPr>
                            <w:t>Ă</w:t>
                          </w:r>
                          <w:r>
                            <w:rPr>
                              <w:rFonts w:eastAsia="Times New Roman" w:cstheme="minorHAnsi"/>
                              <w:sz w:val="20"/>
                              <w:szCs w:val="20"/>
                            </w:rPr>
                            <w:t xml:space="preserve"> A COMPETEN</w:t>
                          </w:r>
                          <w:r w:rsidR="002A1E33">
                            <w:rPr>
                              <w:rFonts w:eastAsia="Times New Roman" w:cstheme="minorHAnsi"/>
                              <w:sz w:val="20"/>
                              <w:szCs w:val="20"/>
                            </w:rPr>
                            <w:t>Ț</w:t>
                          </w:r>
                          <w:r>
                            <w:rPr>
                              <w:rFonts w:eastAsia="Times New Roman" w:cstheme="minorHAnsi"/>
                              <w:sz w:val="20"/>
                              <w:szCs w:val="20"/>
                            </w:rPr>
                            <w:t>ELOR DIGITALE PENTRU ANGAJA</w:t>
                          </w:r>
                          <w:r w:rsidR="002A1E33">
                            <w:rPr>
                              <w:rFonts w:eastAsia="Times New Roman" w:cstheme="minorHAnsi"/>
                              <w:sz w:val="20"/>
                              <w:szCs w:val="20"/>
                            </w:rPr>
                            <w:t>Ț</w:t>
                          </w:r>
                          <w:r>
                            <w:rPr>
                              <w:rFonts w:eastAsia="Times New Roman" w:cstheme="minorHAnsi"/>
                              <w:sz w:val="20"/>
                              <w:szCs w:val="20"/>
                            </w:rPr>
                            <w:t xml:space="preserve">II </w:t>
                          </w:r>
                          <w:r w:rsidR="002A1E33">
                            <w:rPr>
                              <w:rFonts w:eastAsia="Times New Roman" w:cstheme="minorHAnsi"/>
                              <w:sz w:val="20"/>
                              <w:szCs w:val="20"/>
                            </w:rPr>
                            <w:t>Ș</w:t>
                          </w:r>
                          <w:r>
                            <w:rPr>
                              <w:rFonts w:eastAsia="Times New Roman" w:cstheme="minorHAnsi"/>
                              <w:sz w:val="20"/>
                              <w:szCs w:val="20"/>
                            </w:rPr>
                            <w:t>I SPECIALI</w:t>
                          </w:r>
                          <w:r w:rsidR="002A1E33">
                            <w:rPr>
                              <w:rFonts w:eastAsia="Times New Roman" w:cstheme="minorHAnsi"/>
                              <w:sz w:val="20"/>
                              <w:szCs w:val="20"/>
                            </w:rPr>
                            <w:t>Ș</w:t>
                          </w:r>
                          <w:r>
                            <w:rPr>
                              <w:rFonts w:eastAsia="Times New Roman" w:cstheme="minorHAnsi"/>
                              <w:sz w:val="20"/>
                              <w:szCs w:val="20"/>
                            </w:rPr>
                            <w:t>TII IT</w:t>
                          </w:r>
                        </w:p>
                        <w:p w14:paraId="55DE8D00" w14:textId="32E50C88" w:rsidR="00E07C5A" w:rsidRDefault="00E07C5A" w:rsidP="00E07C5A">
                          <w:pPr>
                            <w:spacing w:after="0"/>
                            <w:jc w:val="center"/>
                            <w:rPr>
                              <w:rFonts w:ascii="Calibri" w:eastAsia="Times New Roman" w:hAnsi="Calibri" w:cstheme="minorHAnsi"/>
                              <w:sz w:val="20"/>
                              <w:szCs w:val="20"/>
                            </w:rPr>
                          </w:pPr>
                          <w:r>
                            <w:rPr>
                              <w:rFonts w:eastAsia="Times New Roman" w:cstheme="minorHAnsi"/>
                              <w:sz w:val="20"/>
                              <w:szCs w:val="20"/>
                            </w:rPr>
                            <w:t>CARE ACTIVEAZ</w:t>
                          </w:r>
                          <w:r w:rsidR="00AF64D3">
                            <w:rPr>
                              <w:rFonts w:eastAsia="Times New Roman" w:cstheme="minorHAnsi"/>
                              <w:sz w:val="20"/>
                              <w:szCs w:val="20"/>
                            </w:rPr>
                            <w:t>Ă</w:t>
                          </w:r>
                          <w:r>
                            <w:rPr>
                              <w:rFonts w:eastAsia="Times New Roman" w:cstheme="minorHAnsi"/>
                              <w:sz w:val="20"/>
                              <w:szCs w:val="20"/>
                            </w:rPr>
                            <w:t xml:space="preserve"> </w:t>
                          </w:r>
                          <w:r w:rsidR="00AF64D3">
                            <w:rPr>
                              <w:rFonts w:eastAsia="Times New Roman" w:cstheme="minorHAnsi"/>
                              <w:sz w:val="20"/>
                              <w:szCs w:val="20"/>
                            </w:rPr>
                            <w:t>Î</w:t>
                          </w:r>
                          <w:r>
                            <w:rPr>
                              <w:rFonts w:eastAsia="Times New Roman" w:cstheme="minorHAnsi"/>
                              <w:sz w:val="20"/>
                              <w:szCs w:val="20"/>
                            </w:rPr>
                            <w:t xml:space="preserve">N SECTOARELE SNC/DOMENIILE SNCDI LA NIVELUL REGIUNII SUD-MUNTENIA - </w:t>
                          </w:r>
                          <w:r>
                            <w:rPr>
                              <w:sz w:val="20"/>
                              <w:szCs w:val="20"/>
                            </w:rPr>
                            <w:t>POCU/860/3/12/141968</w:t>
                          </w:r>
                        </w:p>
                        <w:p w14:paraId="55D4110A" w14:textId="4A287065" w:rsidR="00E07C5A" w:rsidRDefault="00E07C5A" w:rsidP="00E07C5A">
                          <w:pPr>
                            <w:jc w:val="center"/>
                            <w:rPr>
                              <w:sz w:val="18"/>
                            </w:rPr>
                          </w:pPr>
                          <w:r>
                            <w:rPr>
                              <w:sz w:val="20"/>
                            </w:rPr>
                            <w:t>Proiect cofinan</w:t>
                          </w:r>
                          <w:r w:rsidR="00BB52F4">
                            <w:rPr>
                              <w:sz w:val="20"/>
                            </w:rPr>
                            <w:t>ț</w:t>
                          </w:r>
                          <w:r>
                            <w:rPr>
                              <w:sz w:val="20"/>
                            </w:rPr>
                            <w:t>at din fondul social european prin programul opera</w:t>
                          </w:r>
                          <w:r w:rsidR="00BB52F4">
                            <w:rPr>
                              <w:sz w:val="20"/>
                            </w:rPr>
                            <w:t>ț</w:t>
                          </w:r>
                          <w:r>
                            <w:rPr>
                              <w:sz w:val="20"/>
                            </w:rPr>
                            <w:t>ional capital uman 2014 – 2020</w:t>
                          </w:r>
                        </w:p>
                        <w:p w14:paraId="1E3E91CD" w14:textId="6A41D7B4" w:rsidR="006A30C7" w:rsidRPr="00EB6EDC" w:rsidRDefault="006A30C7" w:rsidP="006A30C7">
                          <w:pPr>
                            <w:spacing w:line="276" w:lineRule="auto"/>
                            <w:jc w:val="center"/>
                            <w:rPr>
                              <w:sz w:val="18"/>
                            </w:rPr>
                          </w:pPr>
                        </w:p>
                      </w:txbxContent>
                    </wps:txbx>
                    <wps:bodyPr rot="0" vert="horz" wrap="square" lIns="91440" tIns="45720" rIns="91440" bIns="45720" anchor="t" anchorCtr="0">
                      <a:noAutofit/>
                    </wps:bodyPr>
                  </wps:wsp>
                </a:graphicData>
              </a:graphic>
            </wp:inline>
          </w:drawing>
        </mc:Choice>
        <mc:Fallback>
          <w:pict>
            <v:shapetype w14:anchorId="694BD808" id="_x0000_t202" coordsize="21600,21600" o:spt="202" path="m,l,21600r21600,l21600,xe">
              <v:stroke joinstyle="miter"/>
              <v:path gradientshapeok="t" o:connecttype="rect"/>
            </v:shapetype>
            <v:shape id="Text Box 2" o:spid="_x0000_s1026" type="#_x0000_t202" style="width:546.05pt;height: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" stroked="f">
              <v:textbox>
                <w:txbxContent>
                  <w:p w14:paraId="7AFCF8B7" w14:textId="44F3C675" w:rsidR="00E07C5A" w:rsidRDefault="00E07C5A" w:rsidP="00E07C5A">
                    <w:pPr>
                      <w:spacing w:after="0"/>
                      <w:jc w:val="center"/>
                      <w:rPr>
                        <w:rFonts w:eastAsia="Times New Roman" w:cstheme="minorHAnsi"/>
                        <w:sz w:val="20"/>
                        <w:szCs w:val="20"/>
                      </w:rPr>
                    </w:pPr>
                    <w:r>
                      <w:rPr>
                        <w:rFonts w:eastAsia="Times New Roman" w:cstheme="minorHAnsi"/>
                        <w:sz w:val="20"/>
                        <w:szCs w:val="20"/>
                      </w:rPr>
                      <w:t>IMM DIGITALL - DEZVOLTAREA INTEGRAT</w:t>
                    </w:r>
                    <w:r w:rsidR="002A1E33">
                      <w:rPr>
                        <w:rFonts w:eastAsia="Times New Roman" w:cstheme="minorHAnsi"/>
                        <w:sz w:val="20"/>
                        <w:szCs w:val="20"/>
                      </w:rPr>
                      <w:t>Ă</w:t>
                    </w:r>
                    <w:r>
                      <w:rPr>
                        <w:rFonts w:eastAsia="Times New Roman" w:cstheme="minorHAnsi"/>
                        <w:sz w:val="20"/>
                        <w:szCs w:val="20"/>
                      </w:rPr>
                      <w:t xml:space="preserve"> A COMPETEN</w:t>
                    </w:r>
                    <w:r w:rsidR="002A1E33">
                      <w:rPr>
                        <w:rFonts w:eastAsia="Times New Roman" w:cstheme="minorHAnsi"/>
                        <w:sz w:val="20"/>
                        <w:szCs w:val="20"/>
                      </w:rPr>
                      <w:t>Ț</w:t>
                    </w:r>
                    <w:r>
                      <w:rPr>
                        <w:rFonts w:eastAsia="Times New Roman" w:cstheme="minorHAnsi"/>
                        <w:sz w:val="20"/>
                        <w:szCs w:val="20"/>
                      </w:rPr>
                      <w:t>ELOR DIGITALE PENTRU ANGAJA</w:t>
                    </w:r>
                    <w:r w:rsidR="002A1E33">
                      <w:rPr>
                        <w:rFonts w:eastAsia="Times New Roman" w:cstheme="minorHAnsi"/>
                        <w:sz w:val="20"/>
                        <w:szCs w:val="20"/>
                      </w:rPr>
                      <w:t>Ț</w:t>
                    </w:r>
                    <w:r>
                      <w:rPr>
                        <w:rFonts w:eastAsia="Times New Roman" w:cstheme="minorHAnsi"/>
                        <w:sz w:val="20"/>
                        <w:szCs w:val="20"/>
                      </w:rPr>
                      <w:t xml:space="preserve">II </w:t>
                    </w:r>
                    <w:r w:rsidR="002A1E33">
                      <w:rPr>
                        <w:rFonts w:eastAsia="Times New Roman" w:cstheme="minorHAnsi"/>
                        <w:sz w:val="20"/>
                        <w:szCs w:val="20"/>
                      </w:rPr>
                      <w:t>Ș</w:t>
                    </w:r>
                    <w:r>
                      <w:rPr>
                        <w:rFonts w:eastAsia="Times New Roman" w:cstheme="minorHAnsi"/>
                        <w:sz w:val="20"/>
                        <w:szCs w:val="20"/>
                      </w:rPr>
                      <w:t>I SPECIALI</w:t>
                    </w:r>
                    <w:r w:rsidR="002A1E33">
                      <w:rPr>
                        <w:rFonts w:eastAsia="Times New Roman" w:cstheme="minorHAnsi"/>
                        <w:sz w:val="20"/>
                        <w:szCs w:val="20"/>
                      </w:rPr>
                      <w:t>Ș</w:t>
                    </w:r>
                    <w:r>
                      <w:rPr>
                        <w:rFonts w:eastAsia="Times New Roman" w:cstheme="minorHAnsi"/>
                        <w:sz w:val="20"/>
                        <w:szCs w:val="20"/>
                      </w:rPr>
                      <w:t>TII IT</w:t>
                    </w:r>
                  </w:p>
                  <w:p w14:paraId="55DE8D00" w14:textId="32E50C88" w:rsidR="00E07C5A" w:rsidRDefault="00E07C5A" w:rsidP="00E07C5A">
                    <w:pPr>
                      <w:spacing w:after="0"/>
                      <w:jc w:val="center"/>
                      <w:rPr>
                        <w:rFonts w:ascii="Calibri" w:eastAsia="Times New Roman" w:hAnsi="Calibri" w:cstheme="minorHAnsi"/>
                        <w:sz w:val="20"/>
                        <w:szCs w:val="20"/>
                      </w:rPr>
                    </w:pPr>
                    <w:r>
                      <w:rPr>
                        <w:rFonts w:eastAsia="Times New Roman" w:cstheme="minorHAnsi"/>
                        <w:sz w:val="20"/>
                        <w:szCs w:val="20"/>
                      </w:rPr>
                      <w:t>CARE ACTIVEAZ</w:t>
                    </w:r>
                    <w:r w:rsidR="00AF64D3">
                      <w:rPr>
                        <w:rFonts w:eastAsia="Times New Roman" w:cstheme="minorHAnsi"/>
                        <w:sz w:val="20"/>
                        <w:szCs w:val="20"/>
                      </w:rPr>
                      <w:t>Ă</w:t>
                    </w:r>
                    <w:r>
                      <w:rPr>
                        <w:rFonts w:eastAsia="Times New Roman" w:cstheme="minorHAnsi"/>
                        <w:sz w:val="20"/>
                        <w:szCs w:val="20"/>
                      </w:rPr>
                      <w:t xml:space="preserve"> </w:t>
                    </w:r>
                    <w:r w:rsidR="00AF64D3">
                      <w:rPr>
                        <w:rFonts w:eastAsia="Times New Roman" w:cstheme="minorHAnsi"/>
                        <w:sz w:val="20"/>
                        <w:szCs w:val="20"/>
                      </w:rPr>
                      <w:t>Î</w:t>
                    </w:r>
                    <w:r>
                      <w:rPr>
                        <w:rFonts w:eastAsia="Times New Roman" w:cstheme="minorHAnsi"/>
                        <w:sz w:val="20"/>
                        <w:szCs w:val="20"/>
                      </w:rPr>
                      <w:t xml:space="preserve">N SECTOARELE SNC/DOMENIILE SNCDI LA NIVELUL REGIUNII SUD-MUNTENIA - </w:t>
                    </w:r>
                    <w:r>
                      <w:rPr>
                        <w:sz w:val="20"/>
                        <w:szCs w:val="20"/>
                      </w:rPr>
                      <w:t>POCU/860/3/12/141968</w:t>
                    </w:r>
                  </w:p>
                  <w:p w14:paraId="55D4110A" w14:textId="4A287065" w:rsidR="00E07C5A" w:rsidRDefault="00E07C5A" w:rsidP="00E07C5A">
                    <w:pPr>
                      <w:jc w:val="center"/>
                      <w:rPr>
                        <w:sz w:val="18"/>
                      </w:rPr>
                    </w:pPr>
                    <w:r>
                      <w:rPr>
                        <w:sz w:val="20"/>
                      </w:rPr>
                      <w:t>Proiect cofinan</w:t>
                    </w:r>
                    <w:r w:rsidR="00BB52F4">
                      <w:rPr>
                        <w:sz w:val="20"/>
                      </w:rPr>
                      <w:t>ț</w:t>
                    </w:r>
                    <w:r>
                      <w:rPr>
                        <w:sz w:val="20"/>
                      </w:rPr>
                      <w:t>at din fondul social european prin programul opera</w:t>
                    </w:r>
                    <w:r w:rsidR="00BB52F4">
                      <w:rPr>
                        <w:sz w:val="20"/>
                      </w:rPr>
                      <w:t>ț</w:t>
                    </w:r>
                    <w:r>
                      <w:rPr>
                        <w:sz w:val="20"/>
                      </w:rPr>
                      <w:t>ional capital uman 2014 – 2020</w:t>
                    </w:r>
                  </w:p>
                  <w:p w14:paraId="1E3E91CD" w14:textId="6A41D7B4" w:rsidR="006A30C7" w:rsidRPr="00EB6EDC" w:rsidRDefault="006A30C7" w:rsidP="006A30C7">
                    <w:pPr>
                      <w:spacing w:line="276" w:lineRule="auto"/>
                      <w:jc w:val="center"/>
                      <w:rPr>
                        <w:sz w:val="18"/>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A73"/>
    <w:multiLevelType w:val="hybridMultilevel"/>
    <w:tmpl w:val="FD02C7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8438CF"/>
    <w:multiLevelType w:val="hybridMultilevel"/>
    <w:tmpl w:val="2070E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8B7BB5"/>
    <w:multiLevelType w:val="hybridMultilevel"/>
    <w:tmpl w:val="2070E5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CD2655"/>
    <w:multiLevelType w:val="hybridMultilevel"/>
    <w:tmpl w:val="21D8B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F4DD1"/>
    <w:multiLevelType w:val="hybridMultilevel"/>
    <w:tmpl w:val="3866171E"/>
    <w:lvl w:ilvl="0" w:tplc="3CB8B178">
      <w:start w:val="1"/>
      <w:numFmt w:val="bullet"/>
      <w:lvlText w:val=""/>
      <w:lvlJc w:val="left"/>
      <w:pPr>
        <w:ind w:left="1080" w:hanging="360"/>
      </w:pPr>
      <w:rPr>
        <w:rFonts w:ascii="Webdings" w:hAnsi="Web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34485E91"/>
    <w:multiLevelType w:val="hybridMultilevel"/>
    <w:tmpl w:val="2BCE07BC"/>
    <w:lvl w:ilvl="0" w:tplc="169819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D47013"/>
    <w:multiLevelType w:val="hybridMultilevel"/>
    <w:tmpl w:val="AF40A1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A587E1D"/>
    <w:multiLevelType w:val="hybridMultilevel"/>
    <w:tmpl w:val="393ACF1E"/>
    <w:lvl w:ilvl="0" w:tplc="C458FA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B4AFE"/>
    <w:multiLevelType w:val="hybridMultilevel"/>
    <w:tmpl w:val="5D889D8A"/>
    <w:lvl w:ilvl="0" w:tplc="118ED21A">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BA7E6B"/>
    <w:multiLevelType w:val="hybridMultilevel"/>
    <w:tmpl w:val="5AA85A2C"/>
    <w:lvl w:ilvl="0" w:tplc="5F4C4F8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3D384B43"/>
    <w:multiLevelType w:val="hybridMultilevel"/>
    <w:tmpl w:val="08B68F9A"/>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3F2D7437"/>
    <w:multiLevelType w:val="hybridMultilevel"/>
    <w:tmpl w:val="A2262536"/>
    <w:lvl w:ilvl="0" w:tplc="0809000D">
      <w:start w:val="1"/>
      <w:numFmt w:val="bullet"/>
      <w:lvlText w:val=""/>
      <w:lvlJc w:val="left"/>
      <w:pPr>
        <w:ind w:left="1488" w:hanging="360"/>
      </w:pPr>
      <w:rPr>
        <w:rFonts w:ascii="Wingdings" w:hAnsi="Wingdings"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2" w15:restartNumberingAfterBreak="0">
    <w:nsid w:val="489F2D21"/>
    <w:multiLevelType w:val="hybridMultilevel"/>
    <w:tmpl w:val="00AA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B5120"/>
    <w:multiLevelType w:val="hybridMultilevel"/>
    <w:tmpl w:val="07A217D6"/>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4E23991"/>
    <w:multiLevelType w:val="hybridMultilevel"/>
    <w:tmpl w:val="D806EB8E"/>
    <w:lvl w:ilvl="0" w:tplc="32345C26">
      <w:start w:val="1"/>
      <w:numFmt w:val="decimal"/>
      <w:lvlText w:val="%1."/>
      <w:lvlJc w:val="left"/>
      <w:pPr>
        <w:ind w:left="1080" w:hanging="360"/>
      </w:pPr>
      <w:rPr>
        <w:rFonts w:asciiTheme="minorHAnsi" w:eastAsiaTheme="minorEastAsia" w:hAnsiTheme="minorHAnsi" w:cstheme="minorBidi"/>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15:restartNumberingAfterBreak="0">
    <w:nsid w:val="551E252A"/>
    <w:multiLevelType w:val="hybridMultilevel"/>
    <w:tmpl w:val="FB9A031A"/>
    <w:lvl w:ilvl="0" w:tplc="04180019">
      <w:start w:val="1"/>
      <w:numFmt w:val="lowerLetter"/>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6" w15:restartNumberingAfterBreak="0">
    <w:nsid w:val="62A112C4"/>
    <w:multiLevelType w:val="hybridMultilevel"/>
    <w:tmpl w:val="36F6F028"/>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6564EF7"/>
    <w:multiLevelType w:val="hybridMultilevel"/>
    <w:tmpl w:val="1CB0129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66592332"/>
    <w:multiLevelType w:val="hybridMultilevel"/>
    <w:tmpl w:val="D8E2F38C"/>
    <w:lvl w:ilvl="0" w:tplc="7FFC4E0C">
      <w:start w:val="1"/>
      <w:numFmt w:val="lowerLetter"/>
      <w:lvlText w:val="%1."/>
      <w:lvlJc w:val="left"/>
      <w:pPr>
        <w:ind w:left="1440" w:hanging="360"/>
      </w:pPr>
      <w:rPr>
        <w:rFonts w:hint="default"/>
      </w:rPr>
    </w:lvl>
    <w:lvl w:ilvl="1" w:tplc="F544D750">
      <w:numFmt w:val="bullet"/>
      <w:lvlText w:val="-"/>
      <w:lvlJc w:val="left"/>
      <w:pPr>
        <w:ind w:left="2160" w:hanging="360"/>
      </w:pPr>
      <w:rPr>
        <w:rFonts w:ascii="Calibri" w:eastAsiaTheme="minorEastAsia" w:hAnsi="Calibri" w:cs="Calibri"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9" w15:restartNumberingAfterBreak="0">
    <w:nsid w:val="692907DD"/>
    <w:multiLevelType w:val="hybridMultilevel"/>
    <w:tmpl w:val="9BBE40E0"/>
    <w:lvl w:ilvl="0" w:tplc="5CC08952">
      <w:start w:val="16"/>
      <w:numFmt w:val="bullet"/>
      <w:lvlText w:val="-"/>
      <w:lvlJc w:val="left"/>
      <w:pPr>
        <w:ind w:left="720" w:hanging="360"/>
      </w:pPr>
      <w:rPr>
        <w:rFonts w:ascii="Calibri" w:eastAsiaTheme="minorEastAsia"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BDC37CC"/>
    <w:multiLevelType w:val="hybridMultilevel"/>
    <w:tmpl w:val="3E9EC252"/>
    <w:lvl w:ilvl="0" w:tplc="B0DEB3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13198"/>
    <w:multiLevelType w:val="hybridMultilevel"/>
    <w:tmpl w:val="8870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9471375">
    <w:abstractNumId w:val="12"/>
  </w:num>
  <w:num w:numId="2" w16cid:durableId="1816330996">
    <w:abstractNumId w:val="20"/>
  </w:num>
  <w:num w:numId="3" w16cid:durableId="1421679830">
    <w:abstractNumId w:val="8"/>
  </w:num>
  <w:num w:numId="4" w16cid:durableId="1069231643">
    <w:abstractNumId w:val="10"/>
  </w:num>
  <w:num w:numId="5" w16cid:durableId="618031830">
    <w:abstractNumId w:val="5"/>
  </w:num>
  <w:num w:numId="6" w16cid:durableId="1294019314">
    <w:abstractNumId w:val="15"/>
  </w:num>
  <w:num w:numId="7" w16cid:durableId="1052119224">
    <w:abstractNumId w:val="9"/>
  </w:num>
  <w:num w:numId="8" w16cid:durableId="251353413">
    <w:abstractNumId w:val="14"/>
  </w:num>
  <w:num w:numId="9" w16cid:durableId="753866757">
    <w:abstractNumId w:val="18"/>
  </w:num>
  <w:num w:numId="10" w16cid:durableId="901673303">
    <w:abstractNumId w:val="6"/>
  </w:num>
  <w:num w:numId="11" w16cid:durableId="1325353993">
    <w:abstractNumId w:val="3"/>
  </w:num>
  <w:num w:numId="12" w16cid:durableId="90397584">
    <w:abstractNumId w:val="1"/>
  </w:num>
  <w:num w:numId="13" w16cid:durableId="24605151">
    <w:abstractNumId w:val="2"/>
  </w:num>
  <w:num w:numId="14" w16cid:durableId="670137064">
    <w:abstractNumId w:val="4"/>
  </w:num>
  <w:num w:numId="15" w16cid:durableId="670717772">
    <w:abstractNumId w:val="17"/>
  </w:num>
  <w:num w:numId="16" w16cid:durableId="1324315672">
    <w:abstractNumId w:val="7"/>
  </w:num>
  <w:num w:numId="17" w16cid:durableId="1784838524">
    <w:abstractNumId w:val="16"/>
  </w:num>
  <w:num w:numId="18" w16cid:durableId="1242981323">
    <w:abstractNumId w:val="19"/>
  </w:num>
  <w:num w:numId="19" w16cid:durableId="1744528797">
    <w:abstractNumId w:val="13"/>
  </w:num>
  <w:num w:numId="20" w16cid:durableId="1908296481">
    <w:abstractNumId w:val="21"/>
  </w:num>
  <w:num w:numId="21" w16cid:durableId="1747725638">
    <w:abstractNumId w:val="0"/>
  </w:num>
  <w:num w:numId="22" w16cid:durableId="661589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21E"/>
    <w:rsid w:val="00002B4C"/>
    <w:rsid w:val="0002341F"/>
    <w:rsid w:val="00023C2A"/>
    <w:rsid w:val="00037C9B"/>
    <w:rsid w:val="00074BA0"/>
    <w:rsid w:val="00087334"/>
    <w:rsid w:val="000D0C70"/>
    <w:rsid w:val="000D7630"/>
    <w:rsid w:val="000E07FF"/>
    <w:rsid w:val="0012371B"/>
    <w:rsid w:val="00123AAB"/>
    <w:rsid w:val="001336B3"/>
    <w:rsid w:val="001463F5"/>
    <w:rsid w:val="00160FE6"/>
    <w:rsid w:val="001E45DB"/>
    <w:rsid w:val="00214924"/>
    <w:rsid w:val="00217698"/>
    <w:rsid w:val="00220809"/>
    <w:rsid w:val="00252228"/>
    <w:rsid w:val="00263FFD"/>
    <w:rsid w:val="00272D04"/>
    <w:rsid w:val="002A0038"/>
    <w:rsid w:val="002A1E33"/>
    <w:rsid w:val="002B2EA2"/>
    <w:rsid w:val="002B7A4F"/>
    <w:rsid w:val="002C7736"/>
    <w:rsid w:val="002F6E69"/>
    <w:rsid w:val="00347AFE"/>
    <w:rsid w:val="00367257"/>
    <w:rsid w:val="003715EF"/>
    <w:rsid w:val="003853BC"/>
    <w:rsid w:val="003A01DD"/>
    <w:rsid w:val="003C2C5D"/>
    <w:rsid w:val="003F24BE"/>
    <w:rsid w:val="00422850"/>
    <w:rsid w:val="004355F0"/>
    <w:rsid w:val="00437CCC"/>
    <w:rsid w:val="00447AA7"/>
    <w:rsid w:val="00462E1A"/>
    <w:rsid w:val="00470AA4"/>
    <w:rsid w:val="004759DE"/>
    <w:rsid w:val="004D1505"/>
    <w:rsid w:val="004E0F06"/>
    <w:rsid w:val="004F71B7"/>
    <w:rsid w:val="004F7592"/>
    <w:rsid w:val="0057098F"/>
    <w:rsid w:val="005761C3"/>
    <w:rsid w:val="005913A8"/>
    <w:rsid w:val="005D77D1"/>
    <w:rsid w:val="005E215F"/>
    <w:rsid w:val="005E24C2"/>
    <w:rsid w:val="00602B88"/>
    <w:rsid w:val="00605C20"/>
    <w:rsid w:val="00617B77"/>
    <w:rsid w:val="00634F0E"/>
    <w:rsid w:val="0064174C"/>
    <w:rsid w:val="00651EAF"/>
    <w:rsid w:val="006743EF"/>
    <w:rsid w:val="006777F2"/>
    <w:rsid w:val="006A111E"/>
    <w:rsid w:val="006A17CC"/>
    <w:rsid w:val="006A30C7"/>
    <w:rsid w:val="006A4D4F"/>
    <w:rsid w:val="006E185C"/>
    <w:rsid w:val="006F4F7A"/>
    <w:rsid w:val="006F5BB0"/>
    <w:rsid w:val="00703101"/>
    <w:rsid w:val="007138D4"/>
    <w:rsid w:val="00713DD9"/>
    <w:rsid w:val="00721CF1"/>
    <w:rsid w:val="00742CCF"/>
    <w:rsid w:val="00745433"/>
    <w:rsid w:val="00753A87"/>
    <w:rsid w:val="0075443B"/>
    <w:rsid w:val="0075505C"/>
    <w:rsid w:val="007863E3"/>
    <w:rsid w:val="00787B10"/>
    <w:rsid w:val="007A0A2C"/>
    <w:rsid w:val="007A5C8A"/>
    <w:rsid w:val="007C40F0"/>
    <w:rsid w:val="008627FD"/>
    <w:rsid w:val="0086539B"/>
    <w:rsid w:val="00880A20"/>
    <w:rsid w:val="00883663"/>
    <w:rsid w:val="008A280D"/>
    <w:rsid w:val="008A736E"/>
    <w:rsid w:val="008B032F"/>
    <w:rsid w:val="008B536B"/>
    <w:rsid w:val="008D2947"/>
    <w:rsid w:val="008F4A72"/>
    <w:rsid w:val="008F5DC7"/>
    <w:rsid w:val="00913A56"/>
    <w:rsid w:val="00946B53"/>
    <w:rsid w:val="0096710C"/>
    <w:rsid w:val="0097076F"/>
    <w:rsid w:val="00995E9A"/>
    <w:rsid w:val="009A12DC"/>
    <w:rsid w:val="009E5FDF"/>
    <w:rsid w:val="009E7C67"/>
    <w:rsid w:val="009F2501"/>
    <w:rsid w:val="009F5DF3"/>
    <w:rsid w:val="00A1259E"/>
    <w:rsid w:val="00A31FDA"/>
    <w:rsid w:val="00A34809"/>
    <w:rsid w:val="00A422F4"/>
    <w:rsid w:val="00A56A15"/>
    <w:rsid w:val="00A825B4"/>
    <w:rsid w:val="00AA4A0D"/>
    <w:rsid w:val="00AB137C"/>
    <w:rsid w:val="00AB6D3A"/>
    <w:rsid w:val="00AC7003"/>
    <w:rsid w:val="00AD0769"/>
    <w:rsid w:val="00AE569D"/>
    <w:rsid w:val="00AF3AF7"/>
    <w:rsid w:val="00AF64D3"/>
    <w:rsid w:val="00B266CF"/>
    <w:rsid w:val="00B32258"/>
    <w:rsid w:val="00B40C08"/>
    <w:rsid w:val="00B524D7"/>
    <w:rsid w:val="00B55875"/>
    <w:rsid w:val="00B967A0"/>
    <w:rsid w:val="00BB52F4"/>
    <w:rsid w:val="00BC2343"/>
    <w:rsid w:val="00BF47FF"/>
    <w:rsid w:val="00C01375"/>
    <w:rsid w:val="00C12DFF"/>
    <w:rsid w:val="00C626B6"/>
    <w:rsid w:val="00C7196F"/>
    <w:rsid w:val="00CA1CCB"/>
    <w:rsid w:val="00CE54AC"/>
    <w:rsid w:val="00CE64F9"/>
    <w:rsid w:val="00D1185E"/>
    <w:rsid w:val="00D44C5E"/>
    <w:rsid w:val="00D67B09"/>
    <w:rsid w:val="00D76F5E"/>
    <w:rsid w:val="00DA17EE"/>
    <w:rsid w:val="00DA255B"/>
    <w:rsid w:val="00DE1520"/>
    <w:rsid w:val="00E07C5A"/>
    <w:rsid w:val="00E10F0A"/>
    <w:rsid w:val="00E11201"/>
    <w:rsid w:val="00E13992"/>
    <w:rsid w:val="00E16DF7"/>
    <w:rsid w:val="00E4353A"/>
    <w:rsid w:val="00E50092"/>
    <w:rsid w:val="00E55CDA"/>
    <w:rsid w:val="00E56970"/>
    <w:rsid w:val="00E6521E"/>
    <w:rsid w:val="00E76936"/>
    <w:rsid w:val="00EB00DF"/>
    <w:rsid w:val="00EB6B48"/>
    <w:rsid w:val="00EC1766"/>
    <w:rsid w:val="00EC6E77"/>
    <w:rsid w:val="00F0003A"/>
    <w:rsid w:val="00F20EF4"/>
    <w:rsid w:val="00F32CAB"/>
    <w:rsid w:val="00F45C4A"/>
    <w:rsid w:val="00F56C56"/>
    <w:rsid w:val="00F6797F"/>
    <w:rsid w:val="00F76D01"/>
    <w:rsid w:val="00FA2546"/>
    <w:rsid w:val="00FC0737"/>
    <w:rsid w:val="00FC2EA1"/>
    <w:rsid w:val="00FE7902"/>
    <w:rsid w:val="00FF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BFF6F"/>
  <w15:docId w15:val="{A88037A6-DF21-4F7A-AFD9-297A834D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rp de text"/>
    <w:qFormat/>
    <w:rsid w:val="003F24BE"/>
    <w:pPr>
      <w:spacing w:after="60" w:line="240" w:lineRule="auto"/>
      <w:jc w:val="both"/>
    </w:pPr>
    <w:rPr>
      <w:noProof/>
      <w:sz w:val="24"/>
      <w:lang w:val="ro-RO"/>
    </w:rPr>
  </w:style>
  <w:style w:type="paragraph" w:styleId="Heading1">
    <w:name w:val="heading 1"/>
    <w:aliases w:val="Titlu intermediar"/>
    <w:basedOn w:val="Normal"/>
    <w:next w:val="Heading2"/>
    <w:link w:val="Heading1Char"/>
    <w:uiPriority w:val="9"/>
    <w:qFormat/>
    <w:rsid w:val="008F4A72"/>
    <w:pPr>
      <w:keepNext/>
      <w:keepLines/>
      <w:spacing w:after="120"/>
      <w:outlineLvl w:val="0"/>
    </w:pPr>
    <w:rPr>
      <w:rFonts w:eastAsiaTheme="majorEastAsia" w:cstheme="majorBidi"/>
      <w:bCs/>
      <w:sz w:val="32"/>
      <w:szCs w:val="28"/>
    </w:rPr>
  </w:style>
  <w:style w:type="paragraph" w:styleId="Heading2">
    <w:name w:val="heading 2"/>
    <w:aliases w:val="Titlu de paragraf"/>
    <w:basedOn w:val="Normal"/>
    <w:next w:val="Normal"/>
    <w:link w:val="Heading2Char"/>
    <w:uiPriority w:val="9"/>
    <w:unhideWhenUsed/>
    <w:qFormat/>
    <w:rsid w:val="008F4A72"/>
    <w:pPr>
      <w:keepNext/>
      <w:keepLines/>
      <w:outlineLvl w:val="1"/>
    </w:pPr>
    <w:rPr>
      <w:rFonts w:eastAsiaTheme="majorEastAsia" w:cstheme="majorBidi"/>
      <w:bCs/>
      <w:sz w:val="28"/>
      <w:szCs w:val="26"/>
    </w:rPr>
  </w:style>
  <w:style w:type="paragraph" w:styleId="Heading3">
    <w:name w:val="heading 3"/>
    <w:basedOn w:val="Normal"/>
    <w:next w:val="Normal"/>
    <w:link w:val="Heading3Char"/>
    <w:uiPriority w:val="9"/>
    <w:unhideWhenUsed/>
    <w:rsid w:val="008F4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u POCU"/>
    <w:basedOn w:val="Normal"/>
    <w:next w:val="Subtitle"/>
    <w:link w:val="TitleChar"/>
    <w:qFormat/>
    <w:rsid w:val="003F24BE"/>
    <w:pPr>
      <w:pBdr>
        <w:bottom w:val="single" w:sz="8" w:space="4" w:color="4F81BD" w:themeColor="accent1"/>
      </w:pBdr>
      <w:spacing w:after="300"/>
      <w:contextualSpacing/>
      <w:jc w:val="center"/>
    </w:pPr>
    <w:rPr>
      <w:rFonts w:eastAsiaTheme="majorEastAsia" w:cstheme="majorBidi"/>
      <w:kern w:val="28"/>
      <w:sz w:val="48"/>
      <w:szCs w:val="52"/>
    </w:rPr>
  </w:style>
  <w:style w:type="character" w:customStyle="1" w:styleId="TitleChar">
    <w:name w:val="Title Char"/>
    <w:aliases w:val="Titlu POCU Char"/>
    <w:basedOn w:val="DefaultParagraphFont"/>
    <w:link w:val="Title"/>
    <w:rsid w:val="003F24BE"/>
    <w:rPr>
      <w:rFonts w:eastAsiaTheme="majorEastAsia" w:cstheme="majorBidi"/>
      <w:kern w:val="28"/>
      <w:sz w:val="48"/>
      <w:szCs w:val="52"/>
    </w:rPr>
  </w:style>
  <w:style w:type="paragraph" w:styleId="Subtitle">
    <w:name w:val="Subtitle"/>
    <w:aliases w:val="Subtitlu POCU"/>
    <w:basedOn w:val="Normal"/>
    <w:next w:val="Heading1"/>
    <w:link w:val="SubtitleChar"/>
    <w:uiPriority w:val="11"/>
    <w:qFormat/>
    <w:rsid w:val="008F4A72"/>
    <w:pPr>
      <w:numPr>
        <w:ilvl w:val="1"/>
      </w:numPr>
    </w:pPr>
    <w:rPr>
      <w:rFonts w:eastAsiaTheme="majorEastAsia" w:cstheme="majorBidi"/>
      <w:iCs/>
      <w:sz w:val="36"/>
      <w:szCs w:val="24"/>
    </w:rPr>
  </w:style>
  <w:style w:type="character" w:customStyle="1" w:styleId="SubtitleChar">
    <w:name w:val="Subtitle Char"/>
    <w:aliases w:val="Subtitlu POCU Char"/>
    <w:basedOn w:val="DefaultParagraphFont"/>
    <w:link w:val="Subtitle"/>
    <w:uiPriority w:val="11"/>
    <w:rsid w:val="008F4A72"/>
    <w:rPr>
      <w:rFonts w:eastAsiaTheme="majorEastAsia" w:cstheme="majorBidi"/>
      <w:iCs/>
      <w:sz w:val="36"/>
      <w:szCs w:val="24"/>
    </w:rPr>
  </w:style>
  <w:style w:type="character" w:customStyle="1" w:styleId="Heading2Char">
    <w:name w:val="Heading 2 Char"/>
    <w:aliases w:val="Titlu de paragraf Char"/>
    <w:basedOn w:val="DefaultParagraphFont"/>
    <w:link w:val="Heading2"/>
    <w:uiPriority w:val="9"/>
    <w:rsid w:val="008F4A72"/>
    <w:rPr>
      <w:rFonts w:eastAsiaTheme="majorEastAsia" w:cstheme="majorBidi"/>
      <w:bCs/>
      <w:sz w:val="28"/>
      <w:szCs w:val="26"/>
    </w:rPr>
  </w:style>
  <w:style w:type="character" w:customStyle="1" w:styleId="Heading3Char">
    <w:name w:val="Heading 3 Char"/>
    <w:basedOn w:val="DefaultParagraphFont"/>
    <w:link w:val="Heading3"/>
    <w:uiPriority w:val="9"/>
    <w:rsid w:val="008F4A72"/>
    <w:rPr>
      <w:rFonts w:asciiTheme="majorHAnsi" w:eastAsiaTheme="majorEastAsia" w:hAnsiTheme="majorHAnsi" w:cstheme="majorBidi"/>
      <w:b/>
      <w:bCs/>
      <w:color w:val="4F81BD" w:themeColor="accent1"/>
    </w:rPr>
  </w:style>
  <w:style w:type="character" w:customStyle="1" w:styleId="Heading1Char">
    <w:name w:val="Heading 1 Char"/>
    <w:aliases w:val="Titlu intermediar Char"/>
    <w:basedOn w:val="DefaultParagraphFont"/>
    <w:link w:val="Heading1"/>
    <w:uiPriority w:val="9"/>
    <w:rsid w:val="008F4A72"/>
    <w:rPr>
      <w:rFonts w:eastAsiaTheme="majorEastAsia" w:cstheme="majorBidi"/>
      <w:bCs/>
      <w:sz w:val="32"/>
      <w:szCs w:val="28"/>
      <w:lang w:val="ro-RO"/>
    </w:rPr>
  </w:style>
  <w:style w:type="paragraph" w:styleId="Header">
    <w:name w:val="header"/>
    <w:basedOn w:val="Normal"/>
    <w:link w:val="HeaderChar"/>
    <w:uiPriority w:val="99"/>
    <w:unhideWhenUsed/>
    <w:rsid w:val="00787B10"/>
    <w:pPr>
      <w:tabs>
        <w:tab w:val="center" w:pos="4680"/>
        <w:tab w:val="right" w:pos="9360"/>
      </w:tabs>
      <w:spacing w:after="0"/>
    </w:pPr>
  </w:style>
  <w:style w:type="character" w:customStyle="1" w:styleId="HeaderChar">
    <w:name w:val="Header Char"/>
    <w:basedOn w:val="DefaultParagraphFont"/>
    <w:link w:val="Header"/>
    <w:uiPriority w:val="99"/>
    <w:rsid w:val="00787B10"/>
    <w:rPr>
      <w:sz w:val="24"/>
    </w:rPr>
  </w:style>
  <w:style w:type="paragraph" w:styleId="Footer">
    <w:name w:val="footer"/>
    <w:basedOn w:val="Normal"/>
    <w:link w:val="FooterChar"/>
    <w:uiPriority w:val="99"/>
    <w:unhideWhenUsed/>
    <w:rsid w:val="00787B10"/>
    <w:pPr>
      <w:tabs>
        <w:tab w:val="center" w:pos="4680"/>
        <w:tab w:val="right" w:pos="9360"/>
      </w:tabs>
      <w:spacing w:after="0"/>
    </w:pPr>
  </w:style>
  <w:style w:type="character" w:customStyle="1" w:styleId="FooterChar">
    <w:name w:val="Footer Char"/>
    <w:basedOn w:val="DefaultParagraphFont"/>
    <w:link w:val="Footer"/>
    <w:uiPriority w:val="99"/>
    <w:rsid w:val="00787B10"/>
    <w:rPr>
      <w:sz w:val="24"/>
    </w:rPr>
  </w:style>
  <w:style w:type="paragraph" w:styleId="BalloonText">
    <w:name w:val="Balloon Text"/>
    <w:basedOn w:val="Normal"/>
    <w:link w:val="BalloonTextChar"/>
    <w:uiPriority w:val="99"/>
    <w:semiHidden/>
    <w:unhideWhenUsed/>
    <w:rsid w:val="00787B1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B10"/>
    <w:rPr>
      <w:rFonts w:ascii="Tahoma" w:hAnsi="Tahoma" w:cs="Tahoma"/>
      <w:sz w:val="16"/>
      <w:szCs w:val="16"/>
    </w:rPr>
  </w:style>
  <w:style w:type="paragraph" w:styleId="ListParagraph">
    <w:name w:val="List Paragraph"/>
    <w:basedOn w:val="Normal"/>
    <w:uiPriority w:val="34"/>
    <w:qFormat/>
    <w:rsid w:val="00462E1A"/>
    <w:pPr>
      <w:ind w:left="720"/>
      <w:contextualSpacing/>
    </w:pPr>
  </w:style>
  <w:style w:type="table" w:styleId="TableGrid">
    <w:name w:val="Table Grid"/>
    <w:basedOn w:val="TableNormal"/>
    <w:uiPriority w:val="59"/>
    <w:rsid w:val="00742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6743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A17EE"/>
    <w:pPr>
      <w:spacing w:after="0" w:line="240" w:lineRule="auto"/>
    </w:pPr>
    <w:rPr>
      <w:rFonts w:eastAsiaTheme="minorHAnsi"/>
      <w:lang w:val="ro-RO"/>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037C9B"/>
    <w:rPr>
      <w:b/>
      <w:bCs/>
    </w:rPr>
  </w:style>
  <w:style w:type="table" w:styleId="GridTable2-Accent3">
    <w:name w:val="Grid Table 2 Accent 3"/>
    <w:basedOn w:val="TableNormal"/>
    <w:uiPriority w:val="47"/>
    <w:rsid w:val="00037C9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1">
    <w:name w:val="Grid Table 2 Accent 1"/>
    <w:basedOn w:val="TableNormal"/>
    <w:uiPriority w:val="47"/>
    <w:rsid w:val="00037C9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49155">
      <w:bodyDiv w:val="1"/>
      <w:marLeft w:val="0"/>
      <w:marRight w:val="0"/>
      <w:marTop w:val="0"/>
      <w:marBottom w:val="0"/>
      <w:divBdr>
        <w:top w:val="none" w:sz="0" w:space="0" w:color="auto"/>
        <w:left w:val="none" w:sz="0" w:space="0" w:color="auto"/>
        <w:bottom w:val="none" w:sz="0" w:space="0" w:color="auto"/>
        <w:right w:val="none" w:sz="0" w:space="0" w:color="auto"/>
      </w:divBdr>
    </w:div>
    <w:div w:id="21429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FINANTARI\2018\GSCS%20VIITOR%20PENTRU%20TINERI%20NEETS%20AXA%201\1.%20IMPLEMENTARE%20PROIECT\-119985%20-%20ASIM\Materiale%20de%20promovare\Foaie%20POCU%2011998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Foaie POCU 119985</Template>
  <TotalTime>372</TotalTime>
  <Pages>5</Pages>
  <Words>1570</Words>
  <Characters>8949</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assd_ph</dc:creator>
  <cp:lastModifiedBy>Simona Dodan</cp:lastModifiedBy>
  <cp:revision>120</cp:revision>
  <cp:lastPrinted>2024-01-23T10:14:00Z</cp:lastPrinted>
  <dcterms:created xsi:type="dcterms:W3CDTF">2018-04-03T11:31:00Z</dcterms:created>
  <dcterms:modified xsi:type="dcterms:W3CDTF">2024-01-23T10:15:00Z</dcterms:modified>
</cp:coreProperties>
</file>